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29ABC" w14:textId="0C35FAA4" w:rsidR="00177120" w:rsidRPr="00177120"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652908">
        <w:rPr>
          <w:bCs/>
          <w:noProof w:val="0"/>
          <w:sz w:val="24"/>
          <w:szCs w:val="24"/>
        </w:rPr>
        <w:t>12</w:t>
      </w:r>
      <w:r w:rsidR="00F01B56">
        <w:rPr>
          <w:bCs/>
          <w:noProof w:val="0"/>
          <w:sz w:val="24"/>
          <w:szCs w:val="24"/>
        </w:rPr>
        <w:t>3</w:t>
      </w:r>
      <w:r w:rsidRPr="00B266B0">
        <w:rPr>
          <w:bCs/>
          <w:noProof w:val="0"/>
          <w:sz w:val="24"/>
          <w:szCs w:val="24"/>
        </w:rPr>
        <w:tab/>
      </w:r>
      <w:r w:rsidR="00B50369">
        <w:rPr>
          <w:bCs/>
          <w:noProof w:val="0"/>
          <w:sz w:val="24"/>
          <w:szCs w:val="24"/>
        </w:rPr>
        <w:t>R2-</w:t>
      </w:r>
      <w:r w:rsidR="00E3746D">
        <w:rPr>
          <w:bCs/>
          <w:noProof w:val="0"/>
          <w:sz w:val="24"/>
          <w:szCs w:val="24"/>
        </w:rPr>
        <w:t>230</w:t>
      </w:r>
      <w:r w:rsidR="00177120">
        <w:rPr>
          <w:bCs/>
          <w:noProof w:val="0"/>
          <w:sz w:val="24"/>
          <w:szCs w:val="24"/>
        </w:rPr>
        <w:t>8892</w:t>
      </w:r>
      <w:bookmarkStart w:id="0" w:name="_GoBack"/>
      <w:bookmarkEnd w:id="0"/>
    </w:p>
    <w:p w14:paraId="11776FA6" w14:textId="5D7A1089" w:rsidR="00A209D6" w:rsidRPr="00465587" w:rsidRDefault="00F01B56" w:rsidP="00A209D6">
      <w:pPr>
        <w:pStyle w:val="Header"/>
        <w:tabs>
          <w:tab w:val="right" w:pos="9639"/>
        </w:tabs>
        <w:rPr>
          <w:bCs/>
          <w:sz w:val="24"/>
          <w:szCs w:val="24"/>
          <w:lang w:eastAsia="zh-CN"/>
        </w:rPr>
      </w:pPr>
      <w:r>
        <w:rPr>
          <w:bCs/>
          <w:sz w:val="24"/>
          <w:szCs w:val="24"/>
          <w:lang w:eastAsia="zh-CN"/>
        </w:rPr>
        <w:t>Toulouse, France</w:t>
      </w:r>
      <w:r w:rsidR="006574C0" w:rsidRPr="006574C0">
        <w:rPr>
          <w:bCs/>
          <w:sz w:val="24"/>
          <w:szCs w:val="24"/>
          <w:lang w:eastAsia="zh-CN"/>
        </w:rPr>
        <w:t xml:space="preserve">, </w:t>
      </w:r>
      <w:r>
        <w:rPr>
          <w:bCs/>
          <w:sz w:val="24"/>
          <w:szCs w:val="24"/>
          <w:lang w:eastAsia="zh-CN"/>
        </w:rPr>
        <w:t>21</w:t>
      </w:r>
      <w:r>
        <w:rPr>
          <w:bCs/>
          <w:sz w:val="24"/>
          <w:szCs w:val="24"/>
          <w:vertAlign w:val="superscript"/>
          <w:lang w:eastAsia="zh-CN"/>
        </w:rPr>
        <w:t>st</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D33B8A">
        <w:rPr>
          <w:bCs/>
          <w:sz w:val="24"/>
          <w:szCs w:val="24"/>
          <w:lang w:eastAsia="zh-CN"/>
        </w:rPr>
        <w:t>2</w:t>
      </w:r>
      <w:r>
        <w:rPr>
          <w:bCs/>
          <w:sz w:val="24"/>
          <w:szCs w:val="24"/>
          <w:lang w:eastAsia="zh-CN"/>
        </w:rPr>
        <w:t>5</w:t>
      </w:r>
      <w:r w:rsidR="00D33B8A" w:rsidRPr="00D33B8A">
        <w:rPr>
          <w:bCs/>
          <w:sz w:val="24"/>
          <w:szCs w:val="24"/>
          <w:vertAlign w:val="superscript"/>
          <w:lang w:eastAsia="zh-CN"/>
        </w:rPr>
        <w:t>th</w:t>
      </w:r>
      <w:r w:rsidR="00D33B8A">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DF63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CF7">
        <w:rPr>
          <w:rFonts w:cs="Arial"/>
          <w:b/>
          <w:bCs/>
          <w:sz w:val="24"/>
        </w:rPr>
        <w:t>7</w:t>
      </w:r>
      <w:r w:rsidR="00590344">
        <w:rPr>
          <w:rFonts w:cs="Arial"/>
          <w:b/>
          <w:bCs/>
          <w:sz w:val="24"/>
        </w:rPr>
        <w:t>.6.</w:t>
      </w:r>
      <w:r w:rsidR="006B5CF7">
        <w:rPr>
          <w:rFonts w:cs="Arial"/>
          <w:b/>
          <w:bCs/>
          <w:sz w:val="24"/>
        </w:rPr>
        <w:t>3</w:t>
      </w:r>
      <w:r w:rsidR="001F1A50">
        <w:rPr>
          <w:rFonts w:cs="Arial"/>
          <w:b/>
          <w:bCs/>
          <w:sz w:val="24"/>
        </w:rPr>
        <w:t>.</w:t>
      </w:r>
      <w:r w:rsidR="006B5CF7">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418A3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06BD6">
        <w:rPr>
          <w:rFonts w:eastAsia="SimSun"/>
          <w:b/>
          <w:bCs/>
          <w:sz w:val="24"/>
          <w:szCs w:val="20"/>
          <w:lang w:val="en-GB" w:eastAsia="en-US"/>
        </w:rPr>
        <w:t>CHO and o</w:t>
      </w:r>
      <w:r w:rsidR="00590344">
        <w:rPr>
          <w:rFonts w:eastAsia="SimSun"/>
          <w:b/>
          <w:bCs/>
          <w:sz w:val="24"/>
          <w:szCs w:val="20"/>
          <w:lang w:val="en-GB" w:eastAsia="en-US"/>
        </w:rPr>
        <w:t>ther mobility enhancements</w:t>
      </w:r>
      <w:r w:rsidR="009613BD">
        <w:rPr>
          <w:rFonts w:eastAsia="SimSun"/>
          <w:b/>
          <w:bCs/>
          <w:sz w:val="24"/>
          <w:szCs w:val="20"/>
          <w:lang w:val="en-GB" w:eastAsia="en-US"/>
        </w:rPr>
        <w:t xml:space="preserve"> for IoT NTN</w:t>
      </w:r>
      <w:r w:rsidR="00830B22" w:rsidRPr="00D64B1C">
        <w:rPr>
          <w:rFonts w:eastAsia="SimSun"/>
          <w:b/>
          <w:bCs/>
          <w:sz w:val="24"/>
          <w:szCs w:val="20"/>
          <w:lang w:val="en-GB" w:eastAsia="en-US"/>
        </w:rPr>
        <w:t xml:space="preserve"> </w:t>
      </w:r>
    </w:p>
    <w:p w14:paraId="1F147C23" w14:textId="096D7A6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C40BB">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0CC0364A" w:rsidR="00F00A10" w:rsidRDefault="00590344" w:rsidP="00F00A10">
      <w:r>
        <w:t>In RAN#</w:t>
      </w:r>
      <w:r w:rsidR="00CD7B63">
        <w:t>94</w:t>
      </w:r>
      <w:r w:rsidR="005347CB">
        <w:t>-</w:t>
      </w:r>
      <w:r w:rsidR="00CD7B63">
        <w:t>e</w:t>
      </w:r>
      <w:r>
        <w:t xml:space="preserve"> the WID for Rel-18 IoT NTN was agreed</w:t>
      </w:r>
      <w:r w:rsidR="00CD7B63">
        <w:t xml:space="preserve"> [</w:t>
      </w:r>
      <w:r w:rsidR="00343335">
        <w:t>1</w:t>
      </w:r>
      <w:r w:rsidR="00CD7B63">
        <w:t>]</w:t>
      </w:r>
      <w:r>
        <w:t xml:space="preserve"> and in RAN#98-e</w:t>
      </w:r>
      <w:r w:rsidR="00CD7B63">
        <w:t xml:space="preserve"> </w:t>
      </w:r>
      <w:r>
        <w:t>it was updated</w:t>
      </w:r>
      <w:r w:rsidR="00CD7B63">
        <w:t xml:space="preserve"> [</w:t>
      </w:r>
      <w:r w:rsidR="00343335">
        <w:t>2</w:t>
      </w:r>
      <w:r w:rsidR="00CD7B63">
        <w:t>]</w:t>
      </w:r>
      <w:r>
        <w:t xml:space="preserve">. </w:t>
      </w:r>
      <w:r w:rsidR="00760805">
        <w:t>The</w:t>
      </w:r>
      <w:r w:rsidR="000C3674">
        <w:t xml:space="preserve"> updated</w:t>
      </w:r>
      <w:r w:rsidR="00CD7B63">
        <w:t xml:space="preserve"> objectives of the</w:t>
      </w:r>
      <w:r w:rsidR="00760805">
        <w:t xml:space="preserve"> WID is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57489565" w14:textId="77777777" w:rsidR="000C3674" w:rsidRDefault="000C3674" w:rsidP="000C3674">
            <w:pPr>
              <w:spacing w:after="60"/>
            </w:pPr>
            <w:r w:rsidRPr="00C46EE3">
              <w:t>4.1.</w:t>
            </w:r>
            <w:r>
              <w:t>1</w:t>
            </w:r>
            <w:r w:rsidRPr="00C46EE3">
              <w:tab/>
              <w:t>IoT-NTN Performance Enhancements in Rel-18 to address remaining issues from Rel-17</w:t>
            </w:r>
          </w:p>
          <w:p w14:paraId="169825B3" w14:textId="77777777" w:rsidR="000C3674" w:rsidRPr="00976C7F" w:rsidRDefault="000C3674" w:rsidP="000C367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65EB0DFB" w14:textId="77777777" w:rsidR="000C3674" w:rsidRPr="00F10936" w:rsidRDefault="000C3674" w:rsidP="000C3674">
            <w:pPr>
              <w:pStyle w:val="B1"/>
              <w:spacing w:after="60"/>
            </w:pPr>
            <w:r>
              <w:t>-</w:t>
            </w:r>
            <w:r>
              <w:tab/>
            </w:r>
            <w:r w:rsidRPr="00F10936">
              <w:t>Disabling of HARQ feedback to mitigate impact of HARQ stalling on UE data rates [RAN1,RAN2]</w:t>
            </w:r>
          </w:p>
          <w:p w14:paraId="05843ABE" w14:textId="77777777" w:rsidR="000C3674" w:rsidRDefault="000C3674" w:rsidP="000C367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CCE355C" w14:textId="77777777" w:rsidR="000C3674" w:rsidRPr="006567CA" w:rsidRDefault="000C3674" w:rsidP="000C367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4DE1D5F3" w14:textId="77777777" w:rsidR="000C3674" w:rsidRDefault="000C3674" w:rsidP="000C3674">
            <w:pPr>
              <w:pStyle w:val="B1"/>
              <w:spacing w:after="60"/>
              <w:ind w:left="0" w:firstLine="0"/>
            </w:pPr>
          </w:p>
          <w:p w14:paraId="182A3B5E" w14:textId="19FC7408" w:rsidR="000C3674" w:rsidRDefault="000C3674" w:rsidP="000C3674">
            <w:pPr>
              <w:spacing w:after="60"/>
              <w:rPr>
                <w:bCs/>
              </w:rPr>
            </w:pPr>
            <w:r w:rsidRPr="00C46EE3">
              <w:rPr>
                <w:bCs/>
              </w:rPr>
              <w:t>4.1.</w:t>
            </w:r>
            <w:r>
              <w:rPr>
                <w:bCs/>
              </w:rPr>
              <w:t>2</w:t>
            </w:r>
            <w:r w:rsidRPr="00C46EE3">
              <w:rPr>
                <w:bCs/>
              </w:rPr>
              <w:tab/>
              <w:t>Mobility enhancements</w:t>
            </w:r>
          </w:p>
          <w:p w14:paraId="27343255" w14:textId="77777777" w:rsidR="000C3674" w:rsidRPr="00756D29" w:rsidRDefault="000C3674" w:rsidP="000C3674">
            <w:pPr>
              <w:spacing w:after="60"/>
            </w:pPr>
            <w:r w:rsidRPr="00756D29">
              <w:t>The following mobility enhancements objectives are listed.</w:t>
            </w:r>
          </w:p>
          <w:p w14:paraId="187BAEAA" w14:textId="77777777" w:rsidR="000C3674" w:rsidRDefault="000C3674" w:rsidP="000C367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5BE863AF" w14:textId="77777777" w:rsidR="000C3674" w:rsidRPr="00756D29" w:rsidRDefault="000C3674" w:rsidP="000C3674">
            <w:pPr>
              <w:pStyle w:val="B1"/>
              <w:spacing w:after="60"/>
            </w:pPr>
            <w:r>
              <w:t>-</w:t>
            </w:r>
            <w:r>
              <w:tab/>
              <w:t>Support signalling in system information of neighbour cell ephemeris, for eMTC and NB-IoT [RAN2]</w:t>
            </w:r>
          </w:p>
          <w:p w14:paraId="7D4505B0" w14:textId="77777777" w:rsidR="000C3674" w:rsidRDefault="000C3674" w:rsidP="000C3674">
            <w:pPr>
              <w:pStyle w:val="B1"/>
              <w:spacing w:after="60"/>
            </w:pPr>
            <w:r>
              <w:t>-</w:t>
            </w:r>
            <w:r>
              <w:tab/>
            </w:r>
            <w:r w:rsidRPr="00756D29">
              <w:t>Re-use the solutions introduced in Rel-17 NR NTN for mobility enhancements for eMTC, with minimum necessary changes to adapt them to eMTC [RAN2]</w:t>
            </w:r>
          </w:p>
          <w:p w14:paraId="5BF83E53" w14:textId="77777777" w:rsidR="000C3674" w:rsidRPr="00756D29" w:rsidRDefault="000C3674" w:rsidP="000C367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5D7BED10" w14:textId="77777777" w:rsidR="000C3674" w:rsidRDefault="000C3674" w:rsidP="000C3674">
            <w:pPr>
              <w:spacing w:after="60"/>
              <w:rPr>
                <w:bCs/>
              </w:rPr>
            </w:pPr>
          </w:p>
          <w:p w14:paraId="764262C4" w14:textId="77777777" w:rsidR="000C3674" w:rsidRDefault="000C3674" w:rsidP="000C3674">
            <w:pPr>
              <w:spacing w:after="60"/>
            </w:pPr>
            <w:r w:rsidRPr="00756D29">
              <w:t>4.1.3</w:t>
            </w:r>
            <w:r w:rsidRPr="00756D29">
              <w:tab/>
              <w:t>Further enhancement to discontinuous coverage</w:t>
            </w:r>
          </w:p>
          <w:p w14:paraId="6BB493DC" w14:textId="1DA19A2F" w:rsidR="000C3674" w:rsidRDefault="000C3674" w:rsidP="000C367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79C025B9" w14:textId="5B741FB1" w:rsidR="00760805" w:rsidRDefault="00760805" w:rsidP="00F00A10"/>
    <w:p w14:paraId="50ACF2F5" w14:textId="20211D5D" w:rsidR="00216998" w:rsidRDefault="00760805" w:rsidP="00F00A10">
      <w:r>
        <w:t xml:space="preserve">In the contribution we focus on the highlighted aspects on other mobility enhancements related to IoT NTN. </w:t>
      </w:r>
    </w:p>
    <w:p w14:paraId="51ABF603" w14:textId="290125AF" w:rsidR="00DC6A61" w:rsidRDefault="006350E9" w:rsidP="00B7538C">
      <w:pPr>
        <w:pStyle w:val="Heading1"/>
      </w:pPr>
      <w:r>
        <w:t>CHO for NTN</w:t>
      </w:r>
    </w:p>
    <w:p w14:paraId="5CA2BB08" w14:textId="32BFFD34" w:rsidR="006350E9" w:rsidRDefault="006350E9" w:rsidP="006350E9">
      <w:pPr>
        <w:pStyle w:val="PatentBody"/>
        <w:numPr>
          <w:ilvl w:val="0"/>
          <w:numId w:val="0"/>
        </w:numPr>
        <w:spacing w:after="180" w:line="240" w:lineRule="auto"/>
        <w:jc w:val="both"/>
        <w:rPr>
          <w:sz w:val="20"/>
        </w:rPr>
      </w:pPr>
      <w:r>
        <w:rPr>
          <w:sz w:val="20"/>
        </w:rPr>
        <w:t xml:space="preserve">Conditional handovers were introduced in NR and E-UTRAN in Rel-16. During the NR NTN Rel-16 Study item it was deemed to have great potential to enhance mobility in NTN. In NR NTN Rel-17 WI it was introduced with a set of enhancements. In IoT NTN Rel-17 it was momentarily discussed, but questions </w:t>
      </w:r>
      <w:r w:rsidR="005767AB">
        <w:rPr>
          <w:sz w:val="20"/>
        </w:rPr>
        <w:t xml:space="preserve">on </w:t>
      </w:r>
      <w:r>
        <w:rPr>
          <w:sz w:val="20"/>
        </w:rPr>
        <w:t>whether</w:t>
      </w:r>
      <w:r w:rsidR="005A6523">
        <w:rPr>
          <w:sz w:val="20"/>
        </w:rPr>
        <w:t xml:space="preserve"> it was</w:t>
      </w:r>
      <w:r>
        <w:rPr>
          <w:sz w:val="20"/>
        </w:rPr>
        <w:t xml:space="preserve"> supported </w:t>
      </w:r>
      <w:r w:rsidR="005767AB">
        <w:rPr>
          <w:sz w:val="20"/>
        </w:rPr>
        <w:t xml:space="preserve">were raised </w:t>
      </w:r>
      <w:r>
        <w:rPr>
          <w:sz w:val="20"/>
        </w:rPr>
        <w:t xml:space="preserve">and thus no enhancements were considered given the basic use case at the time. For Rel-18 the use case is to support longer connection times, where Conditional Handovers may greatly assist. </w:t>
      </w:r>
    </w:p>
    <w:p w14:paraId="7761A003" w14:textId="77447A7D" w:rsidR="009209B2" w:rsidRDefault="009209B2" w:rsidP="009209B2">
      <w:pPr>
        <w:rPr>
          <w:lang w:val="en-GB" w:eastAsia="en-US"/>
        </w:rPr>
      </w:pPr>
    </w:p>
    <w:p w14:paraId="3311339C" w14:textId="780A0222" w:rsidR="009209B2" w:rsidRDefault="009209B2" w:rsidP="009209B2">
      <w:pPr>
        <w:pStyle w:val="Heading2"/>
      </w:pPr>
      <w:r>
        <w:lastRenderedPageBreak/>
        <w:t>Release 16 CHO</w:t>
      </w:r>
      <w:r w:rsidR="006350E9">
        <w:t xml:space="preserve"> procedure</w:t>
      </w:r>
    </w:p>
    <w:p w14:paraId="684E31DA" w14:textId="56AEE641" w:rsidR="006350E9" w:rsidRPr="006350E9" w:rsidRDefault="006350E9" w:rsidP="006350E9">
      <w:pPr>
        <w:rPr>
          <w:lang w:val="en-GB" w:eastAsia="en-US"/>
        </w:rPr>
      </w:pPr>
      <w:r>
        <w:rPr>
          <w:lang w:val="en-GB" w:eastAsia="en-US"/>
        </w:rPr>
        <w:t xml:space="preserve">CHO was introduced for both 5G NR and E-UTRAN in Release 16. It involved intensive work as the legacy handover mechanism from E-UTRAN had to be re-adapted to having multiple handover commands. </w:t>
      </w:r>
    </w:p>
    <w:p w14:paraId="192DB9D8" w14:textId="2A1A589B" w:rsidR="006350E9" w:rsidRDefault="00177120" w:rsidP="006350E9">
      <w:pPr>
        <w:keepNext/>
        <w:jc w:val="center"/>
      </w:pPr>
      <w:r>
        <w:rPr>
          <w:noProof/>
          <w:lang w:val="en-GB" w:eastAsia="zh-CN"/>
        </w:rPr>
        <w:pict w14:anchorId="1801D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5pt;height:319.8pt">
            <v:imagedata r:id="rId8" o:title="Figure 1"/>
          </v:shape>
        </w:pict>
      </w:r>
    </w:p>
    <w:p w14:paraId="0A3F3FC1" w14:textId="2F5B76B3" w:rsidR="006350E9" w:rsidRPr="00BD3400" w:rsidRDefault="006350E9" w:rsidP="006350E9">
      <w:pPr>
        <w:pStyle w:val="Caption"/>
        <w:jc w:val="center"/>
        <w:rPr>
          <w:b/>
          <w:i w:val="0"/>
          <w:color w:val="auto"/>
        </w:rPr>
      </w:pPr>
      <w:r w:rsidRPr="00BD3400">
        <w:rPr>
          <w:b/>
          <w:i w:val="0"/>
          <w:color w:val="auto"/>
        </w:rPr>
        <w:t xml:space="preserve">Figure </w:t>
      </w:r>
      <w:r w:rsidRPr="00BD3400">
        <w:rPr>
          <w:b/>
          <w:i w:val="0"/>
          <w:color w:val="auto"/>
        </w:rPr>
        <w:fldChar w:fldCharType="begin"/>
      </w:r>
      <w:r w:rsidRPr="00BD3400">
        <w:rPr>
          <w:b/>
          <w:i w:val="0"/>
          <w:color w:val="auto"/>
        </w:rPr>
        <w:instrText xml:space="preserve"> SEQ Figure \* ARABIC </w:instrText>
      </w:r>
      <w:r w:rsidRPr="00BD3400">
        <w:rPr>
          <w:b/>
          <w:i w:val="0"/>
          <w:color w:val="auto"/>
        </w:rPr>
        <w:fldChar w:fldCharType="separate"/>
      </w:r>
      <w:r w:rsidR="008E7624">
        <w:rPr>
          <w:b/>
          <w:i w:val="0"/>
          <w:noProof/>
          <w:color w:val="auto"/>
        </w:rPr>
        <w:t>1</w:t>
      </w:r>
      <w:r w:rsidRPr="00BD3400">
        <w:rPr>
          <w:b/>
          <w:i w:val="0"/>
          <w:color w:val="auto"/>
        </w:rPr>
        <w:fldChar w:fldCharType="end"/>
      </w:r>
      <w:r w:rsidRPr="00BD3400">
        <w:rPr>
          <w:b/>
          <w:i w:val="0"/>
          <w:color w:val="auto"/>
        </w:rPr>
        <w:t xml:space="preserve">. Conditional Handover procedure. </w:t>
      </w:r>
    </w:p>
    <w:p w14:paraId="377D9001" w14:textId="77777777" w:rsidR="006350E9" w:rsidRDefault="006350E9" w:rsidP="006350E9">
      <w:pPr>
        <w:jc w:val="both"/>
      </w:pPr>
      <w:r>
        <w:t xml:space="preserve">The Conditional handover procedure can be seen in Figure 1. The steps are as follows: </w:t>
      </w:r>
    </w:p>
    <w:p w14:paraId="670A3560" w14:textId="77777777" w:rsidR="006350E9" w:rsidRDefault="006350E9" w:rsidP="006350E9">
      <w:pPr>
        <w:jc w:val="both"/>
      </w:pPr>
      <w:r w:rsidRPr="009209B2">
        <w:rPr>
          <w:b/>
        </w:rPr>
        <w:t>1. CHO decision.</w:t>
      </w:r>
      <w:r>
        <w:t xml:space="preserve"> Source eNB decides to attempt to configure CHO. </w:t>
      </w:r>
    </w:p>
    <w:p w14:paraId="0DAE9ADD" w14:textId="77777777" w:rsidR="006350E9" w:rsidRDefault="006350E9" w:rsidP="006350E9">
      <w:pPr>
        <w:jc w:val="both"/>
      </w:pPr>
      <w:r w:rsidRPr="009209B2">
        <w:rPr>
          <w:b/>
        </w:rPr>
        <w:t>2. HANDOVER REQUEST.</w:t>
      </w:r>
      <w:r>
        <w:t xml:space="preserve"> Handover requests are sent to target eNBs for every target cell. This means that the source eNB may have to send multiple requests to each target eNB. The HANDOVER REQUEST message contains the RRC message </w:t>
      </w:r>
      <w:r w:rsidRPr="00BD3400">
        <w:rPr>
          <w:i/>
        </w:rPr>
        <w:t>HandoverPreparationInformation</w:t>
      </w:r>
      <w:r>
        <w:t xml:space="preserve"> message. This contains the UE capabilities, Access Stratum configuration and more. These are used for the target eNB to be able to send a suitable handover and RRC configuration in the handover command from the source eNB to the UE. </w:t>
      </w:r>
    </w:p>
    <w:p w14:paraId="7E77D4D7" w14:textId="0BD661F6" w:rsidR="006350E9" w:rsidRDefault="006350E9" w:rsidP="006350E9">
      <w:pPr>
        <w:jc w:val="both"/>
      </w:pPr>
      <w:r w:rsidRPr="009209B2">
        <w:rPr>
          <w:b/>
        </w:rPr>
        <w:t>3. HANDOVER REQUEST ACKNOWLEDGE</w:t>
      </w:r>
      <w:r>
        <w:t xml:space="preserve">. Target eNB sends an acknowledgement if the handover may be performed, for each cell that the source eNB have requested for. This message will contain the RRC message </w:t>
      </w:r>
      <w:r w:rsidRPr="00BD3400">
        <w:rPr>
          <w:i/>
        </w:rPr>
        <w:t>HandoverCommand</w:t>
      </w:r>
      <w:r>
        <w:t xml:space="preserve">, which in turn contains the full </w:t>
      </w:r>
      <w:r w:rsidRPr="009209B2">
        <w:rPr>
          <w:i/>
        </w:rPr>
        <w:t>RRC</w:t>
      </w:r>
      <w:r w:rsidR="00BD3400">
        <w:rPr>
          <w:i/>
        </w:rPr>
        <w:t>Connection</w:t>
      </w:r>
      <w:r w:rsidRPr="009209B2">
        <w:rPr>
          <w:i/>
        </w:rPr>
        <w:t>Reconfiguration</w:t>
      </w:r>
      <w:r>
        <w:t xml:space="preserve"> message that the target eNB has fully constructed. This contains all the needed configurations for handover command from source eNB to UE to complete the handover. </w:t>
      </w:r>
    </w:p>
    <w:p w14:paraId="562D4406" w14:textId="75CBD623" w:rsidR="006350E9" w:rsidRDefault="006350E9" w:rsidP="006350E9">
      <w:pPr>
        <w:jc w:val="both"/>
      </w:pPr>
      <w:r w:rsidRPr="00C16499">
        <w:rPr>
          <w:b/>
        </w:rPr>
        <w:t xml:space="preserve">4. Source eNB </w:t>
      </w:r>
      <w:r>
        <w:rPr>
          <w:b/>
        </w:rPr>
        <w:t>constructs CHO configuration</w:t>
      </w:r>
      <w:r w:rsidRPr="00C16499">
        <w:rPr>
          <w:b/>
        </w:rPr>
        <w:t>.</w:t>
      </w:r>
      <w:r>
        <w:t xml:space="preserve"> The source eNB takes all of the configurations from the target cells that acknowledged the Handover Request, gathers these in an </w:t>
      </w:r>
      <w:r w:rsidRPr="00BD3400">
        <w:rPr>
          <w:i/>
        </w:rPr>
        <w:t>RRC</w:t>
      </w:r>
      <w:r w:rsidR="00BD3400" w:rsidRPr="00BD3400">
        <w:rPr>
          <w:i/>
        </w:rPr>
        <w:t>Connection</w:t>
      </w:r>
      <w:r w:rsidRPr="00BD3400">
        <w:rPr>
          <w:i/>
        </w:rPr>
        <w:t>Reconfiguratio</w:t>
      </w:r>
      <w:r>
        <w:t xml:space="preserve">n. Furthermore the source eNB decides on a CHO triggering condition for each cell in the CHO configuration. </w:t>
      </w:r>
    </w:p>
    <w:p w14:paraId="21978734" w14:textId="59A50DAD" w:rsidR="006350E9" w:rsidRPr="00BD3400" w:rsidRDefault="006350E9" w:rsidP="006350E9">
      <w:pPr>
        <w:jc w:val="both"/>
      </w:pPr>
      <w:r w:rsidRPr="00C16499">
        <w:rPr>
          <w:b/>
        </w:rPr>
        <w:t>5. RRCConnectionReconfiguration</w:t>
      </w:r>
      <w:r w:rsidR="00BD3400">
        <w:rPr>
          <w:b/>
        </w:rPr>
        <w:t xml:space="preserve"> containing CHO configuration sent to UE. </w:t>
      </w:r>
    </w:p>
    <w:p w14:paraId="4D2A9461" w14:textId="77777777" w:rsidR="006350E9" w:rsidRDefault="006350E9" w:rsidP="006350E9">
      <w:pPr>
        <w:jc w:val="both"/>
      </w:pPr>
      <w:r w:rsidRPr="00C16499">
        <w:rPr>
          <w:b/>
        </w:rPr>
        <w:t>6. RRCConnectionReconfigurationComplete.</w:t>
      </w:r>
      <w:r>
        <w:t xml:space="preserve"> The UE replies with a complete message. </w:t>
      </w:r>
    </w:p>
    <w:p w14:paraId="758B39CE" w14:textId="77777777" w:rsidR="006350E9" w:rsidRPr="00C16499" w:rsidRDefault="006350E9" w:rsidP="006350E9">
      <w:pPr>
        <w:jc w:val="both"/>
        <w:rPr>
          <w:b/>
        </w:rPr>
      </w:pPr>
      <w:r w:rsidRPr="00C16499">
        <w:rPr>
          <w:b/>
        </w:rPr>
        <w:t xml:space="preserve">7. CHO condition is evaluated. </w:t>
      </w:r>
    </w:p>
    <w:p w14:paraId="79359B9A" w14:textId="77777777" w:rsidR="006350E9" w:rsidRDefault="006350E9" w:rsidP="006350E9">
      <w:pPr>
        <w:jc w:val="both"/>
      </w:pPr>
      <w:r w:rsidRPr="00C16499">
        <w:rPr>
          <w:b/>
        </w:rPr>
        <w:t>8. UE connects to target cell.</w:t>
      </w:r>
      <w:r>
        <w:t xml:space="preserve"> UE completes the CHO using random access procedure and then sends the RRCConnectionReconfigurationComplete. </w:t>
      </w:r>
    </w:p>
    <w:p w14:paraId="18A9977F" w14:textId="6FC91A23" w:rsidR="00E76419" w:rsidRPr="00216998" w:rsidRDefault="006350E9" w:rsidP="00E76419">
      <w:pPr>
        <w:pStyle w:val="Heading2"/>
      </w:pPr>
      <w:r>
        <w:lastRenderedPageBreak/>
        <w:t>NTN triggers for CHO</w:t>
      </w:r>
    </w:p>
    <w:p w14:paraId="0ABFDF1D" w14:textId="6806E33F" w:rsidR="006C2BF6" w:rsidRDefault="00570C75" w:rsidP="006C2BF6">
      <w:pPr>
        <w:pStyle w:val="PatentBody"/>
        <w:numPr>
          <w:ilvl w:val="0"/>
          <w:numId w:val="0"/>
        </w:numPr>
        <w:spacing w:after="180" w:line="240" w:lineRule="auto"/>
        <w:jc w:val="both"/>
        <w:rPr>
          <w:sz w:val="20"/>
        </w:rPr>
      </w:pPr>
      <w:r>
        <w:rPr>
          <w:sz w:val="20"/>
        </w:rPr>
        <w:t>As part of R</w:t>
      </w:r>
      <w:r w:rsidR="0043670F">
        <w:rPr>
          <w:sz w:val="20"/>
        </w:rPr>
        <w:t xml:space="preserve">el-18 it has been agreed to introduce Time-based CHO, location-based CHO and CHO based on event A4. </w:t>
      </w:r>
      <w:r w:rsidR="006C2BF6">
        <w:rPr>
          <w:sz w:val="20"/>
        </w:rPr>
        <w:t xml:space="preserve">In NR NTN location-based and time-based events cannot be configured independently. The reason is because they are not based on measurements and that there can be a risk that the time or location-based </w:t>
      </w:r>
      <w:r w:rsidR="00C50D2C">
        <w:rPr>
          <w:sz w:val="20"/>
        </w:rPr>
        <w:t>conditions</w:t>
      </w:r>
      <w:r w:rsidR="006C2BF6">
        <w:rPr>
          <w:sz w:val="20"/>
        </w:rPr>
        <w:t xml:space="preserve"> are fulfilled while the signal strength to the cell is very poor to the point where connecting to the cell would certainly fail.   </w:t>
      </w:r>
    </w:p>
    <w:p w14:paraId="1F3EAE9B" w14:textId="03D8947E" w:rsidR="0043670F" w:rsidRDefault="0043670F" w:rsidP="008A092A">
      <w:pPr>
        <w:pStyle w:val="PatentBody"/>
        <w:numPr>
          <w:ilvl w:val="0"/>
          <w:numId w:val="0"/>
        </w:numPr>
        <w:spacing w:after="180" w:line="240" w:lineRule="auto"/>
        <w:jc w:val="both"/>
        <w:rPr>
          <w:sz w:val="20"/>
        </w:rPr>
      </w:pPr>
      <w:r>
        <w:rPr>
          <w:sz w:val="20"/>
        </w:rPr>
        <w:t>Last meeting</w:t>
      </w:r>
      <w:r w:rsidR="006C2BF6">
        <w:rPr>
          <w:sz w:val="20"/>
        </w:rPr>
        <w:t xml:space="preserve"> RAN2#122</w:t>
      </w:r>
      <w:r>
        <w:rPr>
          <w:sz w:val="20"/>
        </w:rPr>
        <w:t xml:space="preserve"> there were discussions regarding the following proposal:</w:t>
      </w:r>
    </w:p>
    <w:p w14:paraId="237E0D13" w14:textId="77777777" w:rsidR="0043670F" w:rsidRPr="00F738C4" w:rsidRDefault="0043670F" w:rsidP="0043670F">
      <w:pPr>
        <w:pStyle w:val="Comments"/>
      </w:pPr>
      <w:r w:rsidRPr="00F738C4">
        <w:t>Proposal 1: RAN2 to discuss whether to allow NTN CHO events to trigger independently.</w:t>
      </w:r>
    </w:p>
    <w:p w14:paraId="07F156F0" w14:textId="4E1E4F2B" w:rsidR="0043670F" w:rsidRPr="006C2BF6" w:rsidRDefault="006C2BF6" w:rsidP="0043670F">
      <w:pPr>
        <w:pStyle w:val="Doc-text2"/>
        <w:rPr>
          <w:sz w:val="18"/>
        </w:rPr>
      </w:pPr>
      <w:r w:rsidRPr="006C2BF6">
        <w:rPr>
          <w:sz w:val="18"/>
        </w:rPr>
        <w:t>…</w:t>
      </w:r>
    </w:p>
    <w:p w14:paraId="4AF8D1AD" w14:textId="77777777" w:rsidR="0043670F" w:rsidRPr="006C2BF6" w:rsidRDefault="0043670F" w:rsidP="0043670F">
      <w:pPr>
        <w:pStyle w:val="Doc-text2"/>
        <w:numPr>
          <w:ilvl w:val="0"/>
          <w:numId w:val="19"/>
        </w:numPr>
        <w:rPr>
          <w:sz w:val="18"/>
        </w:rPr>
      </w:pPr>
      <w:r w:rsidRPr="006C2BF6">
        <w:rPr>
          <w:sz w:val="18"/>
        </w:rPr>
        <w:t>Postponed to the next meeting</w:t>
      </w:r>
    </w:p>
    <w:p w14:paraId="01D9F9BA" w14:textId="77777777" w:rsidR="0043670F" w:rsidRDefault="0043670F" w:rsidP="008A092A">
      <w:pPr>
        <w:pStyle w:val="PatentBody"/>
        <w:numPr>
          <w:ilvl w:val="0"/>
          <w:numId w:val="0"/>
        </w:numPr>
        <w:spacing w:after="180" w:line="240" w:lineRule="auto"/>
        <w:jc w:val="both"/>
        <w:rPr>
          <w:sz w:val="20"/>
        </w:rPr>
      </w:pPr>
    </w:p>
    <w:p w14:paraId="3FE6F5E7" w14:textId="1DBBC1ED" w:rsidR="00D624F5" w:rsidRDefault="002D7F26" w:rsidP="00D624F5">
      <w:pPr>
        <w:pStyle w:val="PatentBody"/>
        <w:numPr>
          <w:ilvl w:val="0"/>
          <w:numId w:val="0"/>
        </w:numPr>
        <w:spacing w:after="180" w:line="240" w:lineRule="auto"/>
        <w:jc w:val="both"/>
        <w:rPr>
          <w:sz w:val="20"/>
        </w:rPr>
      </w:pPr>
      <w:r>
        <w:rPr>
          <w:sz w:val="20"/>
        </w:rPr>
        <w:t xml:space="preserve">The CHO </w:t>
      </w:r>
      <w:r w:rsidR="00D624F5">
        <w:rPr>
          <w:sz w:val="20"/>
        </w:rPr>
        <w:t xml:space="preserve">procedure after receiving a handover command is as follows: </w:t>
      </w:r>
    </w:p>
    <w:p w14:paraId="1A747D55" w14:textId="77777777" w:rsidR="00D624F5" w:rsidRDefault="00D624F5" w:rsidP="00D624F5">
      <w:pPr>
        <w:pStyle w:val="PatentBody"/>
        <w:numPr>
          <w:ilvl w:val="0"/>
          <w:numId w:val="0"/>
        </w:numPr>
        <w:spacing w:after="180" w:line="240" w:lineRule="auto"/>
        <w:jc w:val="both"/>
        <w:rPr>
          <w:sz w:val="20"/>
        </w:rPr>
      </w:pPr>
      <w:r>
        <w:rPr>
          <w:sz w:val="20"/>
        </w:rPr>
        <w:t>1. UE receives a handover command</w:t>
      </w:r>
    </w:p>
    <w:p w14:paraId="01F8D443" w14:textId="77777777" w:rsidR="00D624F5" w:rsidRDefault="00D624F5" w:rsidP="00D624F5">
      <w:pPr>
        <w:pStyle w:val="PatentBody"/>
        <w:numPr>
          <w:ilvl w:val="0"/>
          <w:numId w:val="0"/>
        </w:numPr>
        <w:spacing w:after="180" w:line="240" w:lineRule="auto"/>
        <w:jc w:val="both"/>
        <w:rPr>
          <w:sz w:val="20"/>
        </w:rPr>
      </w:pPr>
      <w:r>
        <w:rPr>
          <w:sz w:val="20"/>
        </w:rPr>
        <w:t>2. Start T304</w:t>
      </w:r>
    </w:p>
    <w:p w14:paraId="41F3D286" w14:textId="77777777" w:rsidR="00D624F5" w:rsidRDefault="00D624F5" w:rsidP="00D624F5">
      <w:pPr>
        <w:pStyle w:val="PatentBody"/>
        <w:numPr>
          <w:ilvl w:val="0"/>
          <w:numId w:val="0"/>
        </w:numPr>
        <w:spacing w:after="180" w:line="240" w:lineRule="auto"/>
        <w:jc w:val="both"/>
        <w:rPr>
          <w:sz w:val="20"/>
        </w:rPr>
      </w:pPr>
      <w:r>
        <w:rPr>
          <w:sz w:val="20"/>
        </w:rPr>
        <w:t>3. Start synchronizing to the DL of the target PCell</w:t>
      </w:r>
    </w:p>
    <w:p w14:paraId="41E043C3" w14:textId="77777777" w:rsidR="00D624F5" w:rsidRDefault="00D624F5" w:rsidP="00D624F5">
      <w:pPr>
        <w:pStyle w:val="PatentBody"/>
        <w:numPr>
          <w:ilvl w:val="0"/>
          <w:numId w:val="0"/>
        </w:numPr>
        <w:spacing w:after="180" w:line="240" w:lineRule="auto"/>
        <w:jc w:val="both"/>
        <w:rPr>
          <w:sz w:val="20"/>
        </w:rPr>
      </w:pPr>
      <w:r>
        <w:rPr>
          <w:sz w:val="20"/>
        </w:rPr>
        <w:t xml:space="preserve">4. Configure UE in accordance with </w:t>
      </w:r>
      <w:r w:rsidRPr="00716894">
        <w:rPr>
          <w:i/>
          <w:sz w:val="20"/>
        </w:rPr>
        <w:t>RRCConnectionReconfiguration</w:t>
      </w:r>
      <w:r>
        <w:rPr>
          <w:sz w:val="20"/>
        </w:rPr>
        <w:t xml:space="preserve"> (lower layers, MAC, sCells, security)</w:t>
      </w:r>
    </w:p>
    <w:p w14:paraId="53945B97" w14:textId="77777777" w:rsidR="00D624F5" w:rsidRDefault="00D624F5" w:rsidP="00D624F5">
      <w:pPr>
        <w:pStyle w:val="PatentBody"/>
        <w:numPr>
          <w:ilvl w:val="0"/>
          <w:numId w:val="0"/>
        </w:numPr>
        <w:spacing w:after="180" w:line="240" w:lineRule="auto"/>
        <w:jc w:val="both"/>
        <w:rPr>
          <w:sz w:val="20"/>
        </w:rPr>
      </w:pPr>
      <w:r>
        <w:rPr>
          <w:sz w:val="20"/>
        </w:rPr>
        <w:t>5. Submit RRCConnectionReconfigurationComplete to trigger random access in MAC</w:t>
      </w:r>
    </w:p>
    <w:p w14:paraId="7D8AA231" w14:textId="77777777" w:rsidR="00D624F5" w:rsidRDefault="00D624F5" w:rsidP="00D624F5">
      <w:pPr>
        <w:pStyle w:val="PatentBody"/>
        <w:numPr>
          <w:ilvl w:val="0"/>
          <w:numId w:val="0"/>
        </w:numPr>
        <w:spacing w:after="180" w:line="240" w:lineRule="auto"/>
        <w:jc w:val="both"/>
        <w:rPr>
          <w:sz w:val="20"/>
        </w:rPr>
      </w:pPr>
      <w:r>
        <w:rPr>
          <w:sz w:val="20"/>
        </w:rPr>
        <w:t>6. Complete random access procedure</w:t>
      </w:r>
    </w:p>
    <w:p w14:paraId="29C8D3E5" w14:textId="65073D90" w:rsidR="002D7F26" w:rsidRDefault="006C2BF6" w:rsidP="008A092A">
      <w:pPr>
        <w:pStyle w:val="PatentBody"/>
        <w:numPr>
          <w:ilvl w:val="0"/>
          <w:numId w:val="0"/>
        </w:numPr>
        <w:spacing w:after="180" w:line="240" w:lineRule="auto"/>
        <w:jc w:val="both"/>
        <w:rPr>
          <w:sz w:val="20"/>
        </w:rPr>
      </w:pPr>
      <w:r>
        <w:rPr>
          <w:sz w:val="20"/>
        </w:rPr>
        <w:t xml:space="preserve">In principle it </w:t>
      </w:r>
      <w:r w:rsidR="006E429F">
        <w:rPr>
          <w:sz w:val="20"/>
        </w:rPr>
        <w:t>should be possible to have the NTN-specific events be independently configured, but the</w:t>
      </w:r>
      <w:r w:rsidR="002D7F26">
        <w:rPr>
          <w:sz w:val="20"/>
        </w:rPr>
        <w:t xml:space="preserve">re are two issues: </w:t>
      </w:r>
    </w:p>
    <w:p w14:paraId="4D87AD8A" w14:textId="0A618737" w:rsidR="002D7F26" w:rsidRDefault="002D7F26" w:rsidP="008A092A">
      <w:pPr>
        <w:pStyle w:val="PatentBody"/>
        <w:numPr>
          <w:ilvl w:val="0"/>
          <w:numId w:val="0"/>
        </w:numPr>
        <w:spacing w:after="180" w:line="240" w:lineRule="auto"/>
        <w:jc w:val="both"/>
        <w:rPr>
          <w:sz w:val="20"/>
        </w:rPr>
      </w:pPr>
      <w:r>
        <w:rPr>
          <w:sz w:val="20"/>
        </w:rPr>
        <w:t xml:space="preserve">1. One </w:t>
      </w:r>
      <w:r w:rsidR="006E429F">
        <w:rPr>
          <w:sz w:val="20"/>
        </w:rPr>
        <w:t xml:space="preserve">issue is the same as in NR NTN, that there is a risk that a handover is performed to a cell with very poor signal strength. </w:t>
      </w:r>
      <w:r w:rsidR="00D624F5">
        <w:rPr>
          <w:sz w:val="20"/>
        </w:rPr>
        <w:t>Th</w:t>
      </w:r>
      <w:r w:rsidR="005767AB">
        <w:rPr>
          <w:sz w:val="20"/>
        </w:rPr>
        <w:t xml:space="preserve">e </w:t>
      </w:r>
      <w:r w:rsidR="00D624F5">
        <w:rPr>
          <w:sz w:val="20"/>
        </w:rPr>
        <w:t>major issue</w:t>
      </w:r>
      <w:r w:rsidR="00D624F5" w:rsidRPr="00D624F5">
        <w:rPr>
          <w:sz w:val="20"/>
        </w:rPr>
        <w:t xml:space="preserve"> </w:t>
      </w:r>
      <w:r w:rsidR="00D624F5">
        <w:rPr>
          <w:sz w:val="20"/>
        </w:rPr>
        <w:t xml:space="preserve">is that there are no mechanisms in either LTE or NR to stop a handover to a cell with which the UE has very poor signal strength. The only procedure to stop a handover is based on T304. Thus there is a risk that the UE is unable to synchronize with a target cell and is then “stuck” until T304 has expired. This is also exacerbated by the fact that T304 may need to be longer </w:t>
      </w:r>
      <w:r w:rsidR="00C50D2C">
        <w:rPr>
          <w:sz w:val="20"/>
        </w:rPr>
        <w:t xml:space="preserve">due to possible GNSS measurements being performed during handovers. </w:t>
      </w:r>
    </w:p>
    <w:p w14:paraId="6503E699" w14:textId="0537313E" w:rsidR="006E429F" w:rsidRDefault="002D7F26" w:rsidP="008A092A">
      <w:pPr>
        <w:pStyle w:val="PatentBody"/>
        <w:numPr>
          <w:ilvl w:val="0"/>
          <w:numId w:val="0"/>
        </w:numPr>
        <w:spacing w:after="180" w:line="240" w:lineRule="auto"/>
        <w:jc w:val="both"/>
        <w:rPr>
          <w:sz w:val="20"/>
        </w:rPr>
      </w:pPr>
      <w:r>
        <w:rPr>
          <w:sz w:val="20"/>
        </w:rPr>
        <w:t>2. If a non-measurement based event is configured, the UE does not need to perform a measurement of the neighbouring cells.</w:t>
      </w:r>
      <w:r w:rsidR="006233AD">
        <w:rPr>
          <w:sz w:val="20"/>
        </w:rPr>
        <w:t xml:space="preserve"> In order to perform any measurement, a UE needs to perform at least one measurement of the target cell. If this is not done before the handover is triggered, it needs to be done during the handover procedure. </w:t>
      </w:r>
    </w:p>
    <w:p w14:paraId="4E280E1E" w14:textId="491A62D5" w:rsidR="006233AD" w:rsidRDefault="006233AD" w:rsidP="008A092A">
      <w:pPr>
        <w:pStyle w:val="PatentBody"/>
        <w:numPr>
          <w:ilvl w:val="0"/>
          <w:numId w:val="0"/>
        </w:numPr>
        <w:spacing w:after="180" w:line="240" w:lineRule="auto"/>
        <w:jc w:val="both"/>
        <w:rPr>
          <w:sz w:val="20"/>
        </w:rPr>
      </w:pPr>
      <w:r>
        <w:rPr>
          <w:sz w:val="20"/>
        </w:rPr>
        <w:t xml:space="preserve">The biggest issue with big impact of performance is </w:t>
      </w:r>
      <w:r w:rsidR="00C50D2C">
        <w:rPr>
          <w:sz w:val="20"/>
        </w:rPr>
        <w:t xml:space="preserve">the first issue. And to solve this issue, there may need to be procedures for UE to perform early failures of handovers if the UE is unable to synchronize with a cell. Thus we propose the following: </w:t>
      </w:r>
    </w:p>
    <w:p w14:paraId="1DCEF03B" w14:textId="4B55731C" w:rsidR="005F4E3E" w:rsidRDefault="00C50D2C" w:rsidP="00C50D2C">
      <w:pPr>
        <w:jc w:val="both"/>
        <w:rPr>
          <w:b/>
        </w:rPr>
      </w:pPr>
      <w:r>
        <w:rPr>
          <w:b/>
        </w:rPr>
        <w:t>Proposal 1: RAN2 cons</w:t>
      </w:r>
      <w:r w:rsidR="005F4E3E">
        <w:rPr>
          <w:b/>
        </w:rPr>
        <w:t>iders the following for whether conditional handovers can be configured independently:</w:t>
      </w:r>
    </w:p>
    <w:p w14:paraId="57C0AE68" w14:textId="3A930319" w:rsidR="005F4E3E" w:rsidRPr="005F4E3E" w:rsidRDefault="005F4E3E" w:rsidP="005F4E3E">
      <w:pPr>
        <w:pStyle w:val="ListParagraph"/>
        <w:numPr>
          <w:ilvl w:val="0"/>
          <w:numId w:val="9"/>
        </w:numPr>
        <w:jc w:val="both"/>
        <w:rPr>
          <w:b/>
          <w:sz w:val="20"/>
        </w:rPr>
      </w:pPr>
      <w:r w:rsidRPr="005F4E3E">
        <w:rPr>
          <w:b/>
          <w:sz w:val="20"/>
        </w:rPr>
        <w:t>Allow for independent triggering of condEventT1 and condEventD1 and introduce procedures for failing synchronization</w:t>
      </w:r>
    </w:p>
    <w:p w14:paraId="32673263" w14:textId="5A8CFBDB" w:rsidR="00C50D2C" w:rsidRPr="005F4E3E" w:rsidRDefault="005F4E3E" w:rsidP="005F4E3E">
      <w:pPr>
        <w:pStyle w:val="ListParagraph"/>
        <w:numPr>
          <w:ilvl w:val="0"/>
          <w:numId w:val="9"/>
        </w:numPr>
        <w:jc w:val="both"/>
        <w:rPr>
          <w:b/>
          <w:sz w:val="20"/>
        </w:rPr>
      </w:pPr>
      <w:r w:rsidRPr="005F4E3E">
        <w:rPr>
          <w:b/>
          <w:sz w:val="20"/>
        </w:rPr>
        <w:t xml:space="preserve">Do not allow independent triggering of condEventT1 and condEventD1 – </w:t>
      </w:r>
      <w:r w:rsidR="005767AB">
        <w:rPr>
          <w:b/>
          <w:sz w:val="20"/>
        </w:rPr>
        <w:t xml:space="preserve">similar to </w:t>
      </w:r>
      <w:r w:rsidRPr="005F4E3E">
        <w:rPr>
          <w:b/>
          <w:sz w:val="20"/>
        </w:rPr>
        <w:t>NR NTN</w:t>
      </w:r>
    </w:p>
    <w:p w14:paraId="0074D36F" w14:textId="18ECEFCB" w:rsidR="00BC6473" w:rsidRPr="00BC6473" w:rsidRDefault="00BC6473" w:rsidP="009D2985">
      <w:pPr>
        <w:jc w:val="both"/>
      </w:pPr>
    </w:p>
    <w:p w14:paraId="02C1213E" w14:textId="3A8745A2" w:rsidR="00F8492C" w:rsidRDefault="006350E9" w:rsidP="006350E9">
      <w:pPr>
        <w:pStyle w:val="Heading2"/>
      </w:pPr>
      <w:r>
        <w:t>Ephemeris signalling in CHO</w:t>
      </w:r>
    </w:p>
    <w:p w14:paraId="0E79526C" w14:textId="285ED053" w:rsidR="00570C75" w:rsidRDefault="00570C75" w:rsidP="009D2985">
      <w:pPr>
        <w:jc w:val="both"/>
      </w:pPr>
      <w:r>
        <w:t xml:space="preserve">In IoT NTN, the ephemeris and other needed parameters to access the target cell are provided in </w:t>
      </w:r>
      <w:r w:rsidRPr="00692ED7">
        <w:rPr>
          <w:i/>
        </w:rPr>
        <w:t>dedicatedSystemInformationBlockType31</w:t>
      </w:r>
      <w:r>
        <w:t xml:space="preserve"> as part of part the handover command or the CHO configuration. In a CHO configuration, the </w:t>
      </w:r>
      <w:r w:rsidRPr="00DB552E">
        <w:rPr>
          <w:i/>
        </w:rPr>
        <w:t>RRC</w:t>
      </w:r>
      <w:r w:rsidR="00C748AC">
        <w:rPr>
          <w:i/>
        </w:rPr>
        <w:t>Connection</w:t>
      </w:r>
      <w:r w:rsidRPr="00DB552E">
        <w:rPr>
          <w:i/>
        </w:rPr>
        <w:t>Reconfiguration</w:t>
      </w:r>
      <w:r>
        <w:t xml:space="preserve"> of each target cell is supplied by the target eNB. As seen in Figure </w:t>
      </w:r>
      <w:r w:rsidR="00E94E2D">
        <w:t>1</w:t>
      </w:r>
      <w:r>
        <w:t>, the source cell will send a Handover Request to the target eNB(s) for each target cell</w:t>
      </w:r>
      <w:r w:rsidR="00692ED7">
        <w:t xml:space="preserve">. This means that even if there is one eNB with 4 cells, the source cell still has to send 4 HANDOVER REQUEST, and receive 4 HANDOVER REQUEST ACKNOWLEDGE. </w:t>
      </w:r>
      <w:r w:rsidR="00C748AC">
        <w:t xml:space="preserve">The source cell will receive when the DL-DCCH-Message of HandoverCommand and construct the RRCConnectionReconfiguration. This </w:t>
      </w:r>
      <w:r w:rsidR="00C748AC">
        <w:lastRenderedPageBreak/>
        <w:t xml:space="preserve">RRCConnectionReconfiguration now contains the RRC configuration of 4 different target cells along with the dedicated SIB31 of each target cell, where the dedicated SIB31 is likely identical. </w:t>
      </w:r>
    </w:p>
    <w:p w14:paraId="301BEE89" w14:textId="2BB9A57A" w:rsidR="00C748AC" w:rsidRDefault="00C748AC" w:rsidP="009D2985">
      <w:pPr>
        <w:jc w:val="both"/>
      </w:pPr>
      <w:r>
        <w:t xml:space="preserve">As the maximum number of cells that can be configured in a conditional handover is 8, then it is clear that the CHO command can become prohibitively large. There is thus a need to be able to shrink the size of a CHO command to a reasonable size. </w:t>
      </w:r>
    </w:p>
    <w:p w14:paraId="6DEAD508" w14:textId="3E7C8E5D" w:rsidR="00C748AC" w:rsidRPr="00D6233C" w:rsidRDefault="00C748AC" w:rsidP="00C748AC">
      <w:pPr>
        <w:jc w:val="both"/>
        <w:rPr>
          <w:b/>
        </w:rPr>
      </w:pPr>
      <w:r w:rsidRPr="00D6233C">
        <w:rPr>
          <w:b/>
        </w:rPr>
        <w:t xml:space="preserve">Observation 1: CHO command may become prohibitively large </w:t>
      </w:r>
      <w:r>
        <w:rPr>
          <w:b/>
        </w:rPr>
        <w:t>because of repeated dedicated SIB31 elements</w:t>
      </w:r>
      <w:r w:rsidRPr="00D6233C">
        <w:rPr>
          <w:b/>
        </w:rPr>
        <w:t xml:space="preserve">. </w:t>
      </w:r>
    </w:p>
    <w:p w14:paraId="5D8176D2" w14:textId="610E31DF" w:rsidR="00570C75" w:rsidRDefault="00C748AC" w:rsidP="009D2985">
      <w:pPr>
        <w:jc w:val="both"/>
      </w:pPr>
      <w:r>
        <w:t xml:space="preserve">Without repeating the dedicatedSIB31 in a CHO command, there would be large savings. In the example above, only one dedicatedSIB31 element need to be signaled instead of 4. </w:t>
      </w:r>
      <w:r w:rsidR="005C08C2">
        <w:t xml:space="preserve">If the ephemeris elements are delivered per eNB or per satellite there can be large savings. Thus we propose the following: </w:t>
      </w:r>
    </w:p>
    <w:p w14:paraId="16ECC3CB" w14:textId="77777777" w:rsidR="005C08C2" w:rsidRPr="001976B3" w:rsidRDefault="005C08C2" w:rsidP="005C08C2">
      <w:pPr>
        <w:jc w:val="both"/>
        <w:rPr>
          <w:b/>
        </w:rPr>
      </w:pPr>
      <w:r>
        <w:rPr>
          <w:b/>
        </w:rPr>
        <w:t>Proposal 2: RAN2 to work on reducing the size of the CHO handover command by sending ephemeris per satellite/per eNB.</w:t>
      </w:r>
    </w:p>
    <w:p w14:paraId="1DD88707" w14:textId="2F0B3AC6" w:rsidR="008F2939" w:rsidRDefault="008F2939" w:rsidP="008F2939">
      <w:pPr>
        <w:pStyle w:val="Heading2"/>
      </w:pPr>
      <w:r>
        <w:t>RACH less</w:t>
      </w:r>
    </w:p>
    <w:p w14:paraId="2DEF50FF" w14:textId="54C529AA" w:rsidR="00C5409F" w:rsidRDefault="00C5409F" w:rsidP="00C5409F">
      <w:pPr>
        <w:rPr>
          <w:lang w:val="en-GB" w:eastAsia="en-US"/>
        </w:rPr>
      </w:pPr>
      <w:r>
        <w:rPr>
          <w:lang w:val="en-GB" w:eastAsia="en-US"/>
        </w:rPr>
        <w:t xml:space="preserve">RACH-less was introduced in Release 14 for E-UTRAN. It enables a UE to skip performing random access during a handover. This is to improve the delay of handovers in some certain cases. In release 14 RACH-less can only be performed in the following cases, related to the TA: </w:t>
      </w:r>
    </w:p>
    <w:p w14:paraId="2ADC482F" w14:textId="304ABBDD" w:rsidR="00C5409F" w:rsidRPr="00B006C9" w:rsidRDefault="00C5409F" w:rsidP="00C5409F">
      <w:pPr>
        <w:pStyle w:val="ListParagraph"/>
        <w:numPr>
          <w:ilvl w:val="0"/>
          <w:numId w:val="9"/>
        </w:numPr>
        <w:rPr>
          <w:sz w:val="20"/>
          <w:lang w:val="en-GB" w:eastAsia="en-US"/>
        </w:rPr>
      </w:pPr>
      <w:r w:rsidRPr="00B006C9">
        <w:rPr>
          <w:sz w:val="20"/>
          <w:lang w:val="en-GB" w:eastAsia="en-US"/>
        </w:rPr>
        <w:t>When TA to the target cell is equal to zero</w:t>
      </w:r>
    </w:p>
    <w:p w14:paraId="05BE62BE" w14:textId="7BCFA776" w:rsidR="00C5409F" w:rsidRPr="00B006C9" w:rsidRDefault="00C5409F" w:rsidP="00AE7AEB">
      <w:pPr>
        <w:pStyle w:val="ListParagraph"/>
        <w:numPr>
          <w:ilvl w:val="0"/>
          <w:numId w:val="9"/>
        </w:numPr>
        <w:spacing w:before="120"/>
        <w:ind w:left="641" w:hanging="357"/>
        <w:rPr>
          <w:sz w:val="20"/>
          <w:lang w:val="en-GB" w:eastAsia="en-US"/>
        </w:rPr>
      </w:pPr>
      <w:r w:rsidRPr="00B006C9">
        <w:rPr>
          <w:sz w:val="20"/>
          <w:lang w:val="en-GB" w:eastAsia="en-US"/>
        </w:rPr>
        <w:t>When TA to the target cell is equal to the TA of the source cell</w:t>
      </w:r>
    </w:p>
    <w:p w14:paraId="16A2AA65" w14:textId="25C866EC" w:rsidR="00E278EB" w:rsidRDefault="00B006C9" w:rsidP="00B75BD4">
      <w:pPr>
        <w:spacing w:before="120"/>
        <w:rPr>
          <w:lang w:val="en-GB" w:eastAsia="en-US"/>
        </w:rPr>
      </w:pPr>
      <w:r>
        <w:rPr>
          <w:lang w:val="en-GB" w:eastAsia="en-US"/>
        </w:rPr>
        <w:t xml:space="preserve">In Rel-16/Rel-17 and now in </w:t>
      </w:r>
      <w:r w:rsidR="00C5409F">
        <w:rPr>
          <w:lang w:val="en-GB" w:eastAsia="en-US"/>
        </w:rPr>
        <w:t>Rel-18, RACH less was discussed in the context of NTN, mainly due to the fact that with the UE performing self-synchronization, the TA is calculated</w:t>
      </w:r>
      <w:r>
        <w:rPr>
          <w:lang w:val="en-GB" w:eastAsia="en-US"/>
        </w:rPr>
        <w:t xml:space="preserve"> by the UE</w:t>
      </w:r>
      <w:r w:rsidR="00C5409F">
        <w:rPr>
          <w:lang w:val="en-GB" w:eastAsia="en-US"/>
        </w:rPr>
        <w:t>. This means that the conditions related to Rel-14 RACH less may be different. Recently</w:t>
      </w:r>
      <w:r w:rsidR="00E278EB">
        <w:rPr>
          <w:lang w:val="en-GB" w:eastAsia="en-US"/>
        </w:rPr>
        <w:t xml:space="preserve"> discussions started on RACH-less in NR NTN has re-surfaced. </w:t>
      </w:r>
    </w:p>
    <w:p w14:paraId="09A0824D" w14:textId="3397D43C" w:rsidR="00E278EB" w:rsidRDefault="00B75BD4" w:rsidP="00212A26">
      <w:pPr>
        <w:rPr>
          <w:lang w:val="en-GB" w:eastAsia="en-US"/>
        </w:rPr>
      </w:pPr>
      <w:r>
        <w:rPr>
          <w:lang w:val="en-GB" w:eastAsia="en-US"/>
        </w:rPr>
        <w:t xml:space="preserve">Many agreements on NTN RACH-less have been taken in NR NTN. </w:t>
      </w:r>
      <w:r w:rsidR="00390C09">
        <w:rPr>
          <w:lang w:val="en-GB" w:eastAsia="en-US"/>
        </w:rPr>
        <w:t>A number of the agreements are related to how RACH less is to be implemented in NR NTN, which requires some special cons</w:t>
      </w:r>
      <w:r w:rsidR="00212A26">
        <w:rPr>
          <w:lang w:val="en-GB" w:eastAsia="en-US"/>
        </w:rPr>
        <w:t>iderations compared to IoT NTN, such as what type of grant to use and how to deal with beam-related problems. A</w:t>
      </w:r>
      <w:r w:rsidR="00390C09">
        <w:rPr>
          <w:lang w:val="en-GB" w:eastAsia="en-US"/>
        </w:rPr>
        <w:t xml:space="preserve"> number of the agreements are directly targeted towards the process of performing RACH-less for NTN and they can be directly transferred to IoT NTN. These agreements are: </w:t>
      </w:r>
    </w:p>
    <w:p w14:paraId="62B5BE7D" w14:textId="4F077187" w:rsidR="00ED38B9" w:rsidRDefault="00ED38B9" w:rsidP="00212A26">
      <w:pPr>
        <w:rPr>
          <w:lang w:val="en-GB" w:eastAsia="en-US"/>
        </w:rPr>
      </w:pPr>
      <w:r>
        <w:rPr>
          <w:lang w:val="en-GB" w:eastAsia="en-US"/>
        </w:rPr>
        <w:t xml:space="preserve">RAN2#121-bis: </w:t>
      </w:r>
    </w:p>
    <w:p w14:paraId="52AEFEB8" w14:textId="33FB4E36"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rsidRPr="00FC57B0">
        <w:t>In Rel-18 we don’t aim at RACH-less HO for NTN-TN mobility</w:t>
      </w:r>
    </w:p>
    <w:p w14:paraId="4AF4352C" w14:textId="026EBC17"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t xml:space="preserve">NTN </w:t>
      </w:r>
      <w:r w:rsidRPr="00FC57B0">
        <w:t>RACH-less HO is supported for Intra-satellite handover with the same feeder link. i.e., with same gateway/gNB;</w:t>
      </w:r>
    </w:p>
    <w:p w14:paraId="6D327C78" w14:textId="161B2239"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t xml:space="preserve">NTN </w:t>
      </w:r>
      <w:r w:rsidRPr="00FC57B0">
        <w:t>RACH-less HO can be supported for intra-satellite handover with different feeder links, i.e., with gateway/gNB switch, inter-satellite handover with gateway/gNB switch, and inter-satellite handover with same gateway/gNB.</w:t>
      </w:r>
    </w:p>
    <w:p w14:paraId="347B36A3" w14:textId="549849DB" w:rsidR="00390C09" w:rsidRDefault="00ED38B9" w:rsidP="00E278EB">
      <w:pPr>
        <w:rPr>
          <w:lang w:eastAsia="en-US"/>
        </w:rPr>
      </w:pPr>
      <w:r>
        <w:rPr>
          <w:lang w:eastAsia="en-US"/>
        </w:rPr>
        <w:t xml:space="preserve">RAN2#122: </w:t>
      </w:r>
    </w:p>
    <w:p w14:paraId="596662AE" w14:textId="47E496B6" w:rsidR="00ED38B9"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In NTN RACH-less handover, NW either indicates NTA in the target cell is identical to the source cell, or the NTA explicitly provided by the NW is 0. RAN2 will not discuss the case where NTA does not equal to 0</w:t>
      </w:r>
    </w:p>
    <w:p w14:paraId="642A813B" w14:textId="77777777" w:rsidR="00ED38B9" w:rsidRPr="00F738C4"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From RAN2 perspective synchronization among source and target cells is not an issue in NTN RACH-less HO</w:t>
      </w:r>
    </w:p>
    <w:p w14:paraId="2776945E" w14:textId="2BD763F7" w:rsidR="00ED38B9" w:rsidRPr="00F738C4"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Remove “FFS how to perform RACH-less UL synchronization to NTN target cell”, RAN2 assumes the UL sync handling in the target cell is the same in RACH-based HO and RACH-less HO, except how to acquire NTA (FFS on the spec impact , if any)</w:t>
      </w:r>
    </w:p>
    <w:p w14:paraId="71562CA6" w14:textId="77777777" w:rsidR="00ED38B9" w:rsidRDefault="00ED38B9" w:rsidP="00E278EB">
      <w:pPr>
        <w:rPr>
          <w:lang w:eastAsia="en-US"/>
        </w:rPr>
      </w:pPr>
    </w:p>
    <w:p w14:paraId="3580A55D" w14:textId="29FC8F7E" w:rsidR="00AE7AEB" w:rsidRPr="00390C09" w:rsidRDefault="00AE7AEB" w:rsidP="00E278EB">
      <w:pPr>
        <w:rPr>
          <w:lang w:eastAsia="en-US"/>
        </w:rPr>
      </w:pPr>
      <w:r>
        <w:rPr>
          <w:lang w:eastAsia="en-US"/>
        </w:rPr>
        <w:t xml:space="preserve">As a start we think that the following agreements from NR NTN can be agreed for IoT NTN RACH-less: </w:t>
      </w:r>
    </w:p>
    <w:p w14:paraId="2F1E69D2" w14:textId="42FF3B14" w:rsidR="00212A26" w:rsidRDefault="00E278EB" w:rsidP="005E2857">
      <w:pPr>
        <w:spacing w:after="60"/>
        <w:jc w:val="both"/>
        <w:rPr>
          <w:b/>
        </w:rPr>
      </w:pPr>
      <w:r>
        <w:rPr>
          <w:b/>
        </w:rPr>
        <w:t xml:space="preserve">Proposal </w:t>
      </w:r>
      <w:r w:rsidR="001607D6">
        <w:rPr>
          <w:b/>
        </w:rPr>
        <w:t>3</w:t>
      </w:r>
      <w:r>
        <w:rPr>
          <w:b/>
        </w:rPr>
        <w:t xml:space="preserve">: </w:t>
      </w:r>
      <w:r w:rsidR="00212A26">
        <w:rPr>
          <w:b/>
        </w:rPr>
        <w:t xml:space="preserve">For eMTC RACH-less the agreements in NR NTN can directly apply to IoT NTN: </w:t>
      </w:r>
    </w:p>
    <w:p w14:paraId="2A1AACB7" w14:textId="37B805A6" w:rsidR="006029D4" w:rsidRDefault="006029D4" w:rsidP="005E2857">
      <w:pPr>
        <w:spacing w:after="60"/>
        <w:jc w:val="both"/>
        <w:rPr>
          <w:b/>
        </w:rPr>
      </w:pPr>
      <w:r>
        <w:rPr>
          <w:b/>
        </w:rPr>
        <w:tab/>
      </w:r>
      <w:r>
        <w:rPr>
          <w:b/>
        </w:rPr>
        <w:tab/>
        <w:t xml:space="preserve">- In Rel-18 </w:t>
      </w:r>
      <w:r w:rsidR="00B92E87">
        <w:rPr>
          <w:b/>
        </w:rPr>
        <w:t>we do not introduce enhancements for RACH-less</w:t>
      </w:r>
      <w:r>
        <w:rPr>
          <w:b/>
        </w:rPr>
        <w:t xml:space="preserve"> NTN-TN</w:t>
      </w:r>
      <w:r w:rsidR="00B92E87">
        <w:rPr>
          <w:b/>
        </w:rPr>
        <w:t xml:space="preserve"> HO</w:t>
      </w:r>
    </w:p>
    <w:p w14:paraId="45ED6E40" w14:textId="4F4F8290" w:rsidR="007D059E" w:rsidRDefault="00212A26" w:rsidP="005E2857">
      <w:pPr>
        <w:spacing w:after="60"/>
        <w:jc w:val="both"/>
        <w:rPr>
          <w:b/>
        </w:rPr>
      </w:pPr>
      <w:r>
        <w:rPr>
          <w:b/>
        </w:rPr>
        <w:tab/>
      </w:r>
      <w:r>
        <w:rPr>
          <w:b/>
        </w:rPr>
        <w:tab/>
        <w:t xml:space="preserve">- NTN RACH-less HO is supported for Intra-satellite handover with the same feeder link. i.e with same </w:t>
      </w:r>
      <w:r w:rsidR="007D059E">
        <w:rPr>
          <w:b/>
        </w:rPr>
        <w:t>gateway/eNB</w:t>
      </w:r>
      <w:r w:rsidR="00E278EB">
        <w:rPr>
          <w:b/>
        </w:rPr>
        <w:t>.</w:t>
      </w:r>
    </w:p>
    <w:p w14:paraId="0D45DF45" w14:textId="14C30330" w:rsidR="00ED38B9" w:rsidRDefault="007D059E" w:rsidP="005E2857">
      <w:pPr>
        <w:spacing w:after="60"/>
        <w:jc w:val="both"/>
        <w:rPr>
          <w:b/>
        </w:rPr>
      </w:pPr>
      <w:r>
        <w:rPr>
          <w:b/>
        </w:rPr>
        <w:lastRenderedPageBreak/>
        <w:tab/>
      </w:r>
      <w:r>
        <w:rPr>
          <w:b/>
        </w:rPr>
        <w:tab/>
        <w:t xml:space="preserve">- NTN RACH-less HO can be supported for intra-satellite handover with different feeder links, i.e., with gateway/eNB switch, inter-satellite handover with gateway/eNB switch, and inter-satellite handover with same gateway/eNB. </w:t>
      </w:r>
    </w:p>
    <w:p w14:paraId="185E1577" w14:textId="72554DA5" w:rsidR="00ED38B9" w:rsidRDefault="00ED38B9" w:rsidP="005E2857">
      <w:pPr>
        <w:spacing w:after="60"/>
        <w:jc w:val="both"/>
        <w:rPr>
          <w:b/>
        </w:rPr>
      </w:pPr>
      <w:r>
        <w:rPr>
          <w:b/>
        </w:rPr>
        <w:tab/>
      </w:r>
      <w:r>
        <w:rPr>
          <w:b/>
        </w:rPr>
        <w:tab/>
        <w:t xml:space="preserve">- in NTN RACH-less handover, NW either indicates NTA in the target cell is identical to the source cell, or the NTA explicitly provided by the NW is 0. RAN2 will not discuss the case where NTA does not equal 0. </w:t>
      </w:r>
    </w:p>
    <w:p w14:paraId="4D909F36" w14:textId="51AC53CC" w:rsidR="00ED38B9" w:rsidRDefault="00ED38B9" w:rsidP="005E2857">
      <w:pPr>
        <w:spacing w:after="60"/>
        <w:jc w:val="both"/>
        <w:rPr>
          <w:b/>
        </w:rPr>
      </w:pPr>
      <w:r>
        <w:rPr>
          <w:b/>
        </w:rPr>
        <w:tab/>
      </w:r>
      <w:r>
        <w:rPr>
          <w:b/>
        </w:rPr>
        <w:tab/>
        <w:t xml:space="preserve">- RAN2 assumes the UL sync handling in the target cell is the same in RACH-based HO and RACH-less HO, except how to acquire NTA. </w:t>
      </w:r>
    </w:p>
    <w:p w14:paraId="1003C794" w14:textId="4CD29FA0" w:rsidR="00CD7B63" w:rsidRPr="00216998" w:rsidRDefault="00CB66BC" w:rsidP="006350E9">
      <w:pPr>
        <w:pStyle w:val="Heading1"/>
      </w:pPr>
      <w:r>
        <w:t>Performing mobility by releasing an NTN UE</w:t>
      </w:r>
    </w:p>
    <w:p w14:paraId="05D80B63" w14:textId="55C9CD82" w:rsidR="00873CDA" w:rsidRDefault="004746FD" w:rsidP="00873CDA">
      <w:pPr>
        <w:rPr>
          <w:lang w:val="en-GB" w:eastAsia="en-US"/>
        </w:rPr>
      </w:pPr>
      <w:r>
        <w:rPr>
          <w:lang w:val="en-GB" w:eastAsia="en-US"/>
        </w:rPr>
        <w:t xml:space="preserve">For NB-IoT NTN, it is envisioned that mobility will be performed using RLF and re-establishment procedures. </w:t>
      </w:r>
      <w:r w:rsidR="00C66F72">
        <w:rPr>
          <w:lang w:val="en-GB" w:eastAsia="en-US"/>
        </w:rPr>
        <w:t>In other words, an NB-IoT UE will connect to a cell and if configured</w:t>
      </w:r>
      <w:r w:rsidR="00011489">
        <w:rPr>
          <w:lang w:val="en-GB" w:eastAsia="en-US"/>
        </w:rPr>
        <w:t>, the UE will</w:t>
      </w:r>
      <w:r w:rsidR="00C66F72">
        <w:rPr>
          <w:lang w:val="en-GB" w:eastAsia="en-US"/>
        </w:rPr>
        <w:t xml:space="preserve"> perform neigh</w:t>
      </w:r>
      <w:r w:rsidR="003762C0">
        <w:rPr>
          <w:lang w:val="en-GB" w:eastAsia="en-US"/>
        </w:rPr>
        <w:t>bour cell measurements.</w:t>
      </w:r>
      <w:r w:rsidR="00873CDA" w:rsidRPr="00873CDA">
        <w:rPr>
          <w:lang w:val="en-GB" w:eastAsia="en-US"/>
        </w:rPr>
        <w:t xml:space="preserve"> </w:t>
      </w:r>
      <w:r w:rsidR="00873CDA">
        <w:rPr>
          <w:lang w:val="en-GB" w:eastAsia="en-US"/>
        </w:rPr>
        <w:t xml:space="preserve">In last meeting the following was agreed: </w:t>
      </w:r>
    </w:p>
    <w:p w14:paraId="4C3985AB" w14:textId="77777777" w:rsidR="00873CDA" w:rsidRPr="00E07D7D" w:rsidRDefault="00873CDA" w:rsidP="00873CDA">
      <w:pPr>
        <w:pStyle w:val="Doc-text2"/>
        <w:numPr>
          <w:ilvl w:val="0"/>
          <w:numId w:val="20"/>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25D89615" w14:textId="77777777" w:rsidR="00873CDA" w:rsidRDefault="00873CDA" w:rsidP="008D61D6">
      <w:pPr>
        <w:rPr>
          <w:lang w:val="en-GB" w:eastAsia="en-US"/>
        </w:rPr>
      </w:pPr>
    </w:p>
    <w:p w14:paraId="35A8D6F9" w14:textId="0234B4FA" w:rsidR="00BC6473" w:rsidRDefault="003762C0" w:rsidP="008D61D6">
      <w:pPr>
        <w:rPr>
          <w:lang w:val="en-GB" w:eastAsia="en-US"/>
        </w:rPr>
      </w:pPr>
      <w:r>
        <w:rPr>
          <w:lang w:val="en-GB" w:eastAsia="en-US"/>
        </w:rPr>
        <w:t>A</w:t>
      </w:r>
      <w:r w:rsidR="00C66F72">
        <w:rPr>
          <w:lang w:val="en-GB" w:eastAsia="en-US"/>
        </w:rPr>
        <w:t xml:space="preserve"> separa</w:t>
      </w:r>
      <w:r w:rsidR="00AE390A">
        <w:rPr>
          <w:lang w:val="en-GB" w:eastAsia="en-US"/>
        </w:rPr>
        <w:t>te way of performing mobility for</w:t>
      </w:r>
      <w:r w:rsidR="00C66F72">
        <w:rPr>
          <w:lang w:val="en-GB" w:eastAsia="en-US"/>
        </w:rPr>
        <w:t xml:space="preserve"> NB-IoT is if a network release</w:t>
      </w:r>
      <w:r w:rsidR="00AE390A">
        <w:rPr>
          <w:lang w:val="en-GB" w:eastAsia="en-US"/>
        </w:rPr>
        <w:t xml:space="preserve">s the UE and re-directs the UE. </w:t>
      </w:r>
      <w:r>
        <w:rPr>
          <w:lang w:val="en-GB" w:eastAsia="en-US"/>
        </w:rPr>
        <w:t xml:space="preserve">This is likely to be the case in many for earth-fixed cells, especially if neighbour cell measurements are not supported by the UE. </w:t>
      </w:r>
      <w:r w:rsidR="00BC6473">
        <w:rPr>
          <w:lang w:val="en-GB" w:eastAsia="en-US"/>
        </w:rPr>
        <w:t>One issue with releasing a UE in earth-fixed scenario relates to the delays when releasing a UE which is 10 seconds for NB-Io</w:t>
      </w:r>
      <w:r w:rsidR="00B8015A">
        <w:rPr>
          <w:lang w:val="en-GB" w:eastAsia="en-US"/>
        </w:rPr>
        <w:t>T and 1.25</w:t>
      </w:r>
      <w:r w:rsidR="00BC6473">
        <w:rPr>
          <w:lang w:val="en-GB" w:eastAsia="en-US"/>
        </w:rPr>
        <w:t xml:space="preserve"> seconds for eMTC:</w:t>
      </w:r>
    </w:p>
    <w:p w14:paraId="795E431E" w14:textId="0E6BF717" w:rsidR="00FB6D32" w:rsidRPr="00FB6D32" w:rsidRDefault="00FB6D32" w:rsidP="00FB6D32">
      <w:pPr>
        <w:jc w:val="center"/>
        <w:rPr>
          <w:color w:val="FF0000"/>
          <w:lang w:val="en-GB" w:eastAsia="en-US"/>
        </w:rPr>
      </w:pPr>
      <w:r w:rsidRPr="00FB6D32">
        <w:rPr>
          <w:color w:val="FF0000"/>
          <w:lang w:val="en-GB" w:eastAsia="en-US"/>
        </w:rPr>
        <w:t>---------------------- 36.331 V17.5.0 ----------------------</w:t>
      </w:r>
    </w:p>
    <w:p w14:paraId="713329FC" w14:textId="77777777" w:rsidR="00FB6D32" w:rsidRPr="00FB6D32" w:rsidRDefault="00FB6D32" w:rsidP="00FB6D32">
      <w:pPr>
        <w:rPr>
          <w:sz w:val="22"/>
          <w:lang w:val="en-GB" w:eastAsia="ja-JP"/>
        </w:rPr>
      </w:pPr>
      <w:bookmarkStart w:id="1" w:name="_Toc20486821"/>
      <w:bookmarkStart w:id="2" w:name="_Toc29342113"/>
      <w:bookmarkStart w:id="3" w:name="_Toc29343252"/>
      <w:bookmarkStart w:id="4" w:name="_Toc36566503"/>
      <w:bookmarkStart w:id="5" w:name="_Toc36809917"/>
      <w:bookmarkStart w:id="6" w:name="_Toc36846281"/>
      <w:bookmarkStart w:id="7" w:name="_Toc36938934"/>
      <w:bookmarkStart w:id="8" w:name="_Toc37081914"/>
      <w:bookmarkStart w:id="9" w:name="_Toc46480540"/>
      <w:bookmarkStart w:id="10" w:name="_Toc46481774"/>
      <w:bookmarkStart w:id="11" w:name="_Toc46483008"/>
      <w:bookmarkStart w:id="12" w:name="_Toc139382865"/>
      <w:r w:rsidRPr="00FB6D32">
        <w:rPr>
          <w:sz w:val="22"/>
          <w:lang w:val="en-GB" w:eastAsia="ja-JP"/>
        </w:rPr>
        <w:t>5.3.8.3</w:t>
      </w:r>
      <w:r w:rsidRPr="00FB6D32">
        <w:rPr>
          <w:sz w:val="22"/>
          <w:lang w:val="en-GB" w:eastAsia="ja-JP"/>
        </w:rPr>
        <w:tab/>
        <w:t xml:space="preserve">Reception of the </w:t>
      </w:r>
      <w:r w:rsidRPr="00FB6D32">
        <w:rPr>
          <w:i/>
          <w:sz w:val="22"/>
          <w:lang w:val="en-GB" w:eastAsia="ja-JP"/>
        </w:rPr>
        <w:t>RRCConnectionRelease</w:t>
      </w:r>
      <w:r w:rsidRPr="00FB6D32">
        <w:rPr>
          <w:sz w:val="22"/>
          <w:lang w:val="en-GB" w:eastAsia="ja-JP"/>
        </w:rPr>
        <w:t xml:space="preserve"> by the UE</w:t>
      </w:r>
      <w:bookmarkEnd w:id="1"/>
      <w:bookmarkEnd w:id="2"/>
      <w:bookmarkEnd w:id="3"/>
      <w:bookmarkEnd w:id="4"/>
      <w:bookmarkEnd w:id="5"/>
      <w:bookmarkEnd w:id="6"/>
      <w:bookmarkEnd w:id="7"/>
      <w:bookmarkEnd w:id="8"/>
      <w:bookmarkEnd w:id="9"/>
      <w:bookmarkEnd w:id="10"/>
      <w:bookmarkEnd w:id="11"/>
      <w:bookmarkEnd w:id="12"/>
    </w:p>
    <w:p w14:paraId="52DEA766" w14:textId="77777777" w:rsidR="00FB6D32" w:rsidRPr="00FB6D32" w:rsidRDefault="00FB6D32" w:rsidP="00FB6D32">
      <w:pPr>
        <w:overflowPunct w:val="0"/>
        <w:autoSpaceDE w:val="0"/>
        <w:autoSpaceDN w:val="0"/>
        <w:adjustRightInd w:val="0"/>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The UE shall:</w:t>
      </w:r>
    </w:p>
    <w:p w14:paraId="42C8E1D3" w14:textId="77777777" w:rsidR="00FB6D32" w:rsidRPr="00FB6D32" w:rsidRDefault="00FB6D32" w:rsidP="00FB6D32">
      <w:pPr>
        <w:overflowPunct w:val="0"/>
        <w:autoSpaceDE w:val="0"/>
        <w:autoSpaceDN w:val="0"/>
        <w:adjustRightInd w:val="0"/>
        <w:ind w:left="568" w:hanging="284"/>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1&gt;</w:t>
      </w:r>
      <w:r w:rsidRPr="00FB6D32">
        <w:rPr>
          <w:rFonts w:ascii="Times New Roman" w:eastAsia="Times New Roman" w:hAnsi="Times New Roman" w:cs="Times New Roman"/>
          <w:sz w:val="18"/>
          <w:szCs w:val="20"/>
          <w:lang w:val="en-GB" w:eastAsia="ja-JP"/>
        </w:rPr>
        <w:tab/>
        <w:t xml:space="preserve">except for NB-IoT, BL UEs or UEs in CE, delay the following actions defined in this clause 60 ms from the moment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was received or optionally when lower layers indicate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 whichever is earlier;</w:t>
      </w:r>
    </w:p>
    <w:p w14:paraId="2F8C3977" w14:textId="77777777" w:rsidR="00FB6D32" w:rsidRPr="00FB6D32" w:rsidRDefault="00FB6D32" w:rsidP="00FB6D32">
      <w:pPr>
        <w:overflowPunct w:val="0"/>
        <w:autoSpaceDE w:val="0"/>
        <w:autoSpaceDN w:val="0"/>
        <w:adjustRightInd w:val="0"/>
        <w:ind w:left="568" w:hanging="284"/>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1&gt;</w:t>
      </w:r>
      <w:r w:rsidRPr="00FB6D32">
        <w:rPr>
          <w:rFonts w:ascii="Times New Roman" w:eastAsia="Times New Roman" w:hAnsi="Times New Roman" w:cs="Times New Roman"/>
          <w:sz w:val="18"/>
          <w:szCs w:val="20"/>
          <w:lang w:val="en-GB" w:eastAsia="ja-JP"/>
        </w:rPr>
        <w:tab/>
        <w:t xml:space="preserve">for BL UEs or UEs in CE, delay the following actions defined in this clause </w:t>
      </w:r>
      <w:r w:rsidRPr="00FB6D32">
        <w:rPr>
          <w:rFonts w:ascii="Times New Roman" w:eastAsia="Times New Roman" w:hAnsi="Times New Roman" w:cs="Times New Roman"/>
          <w:sz w:val="18"/>
          <w:szCs w:val="20"/>
          <w:highlight w:val="yellow"/>
          <w:lang w:val="en-GB" w:eastAsia="ja-JP"/>
        </w:rPr>
        <w:t>1.25 seconds</w:t>
      </w:r>
      <w:r w:rsidRPr="00FB6D32">
        <w:rPr>
          <w:rFonts w:ascii="Times New Roman" w:eastAsia="Times New Roman" w:hAnsi="Times New Roman" w:cs="Times New Roman"/>
          <w:sz w:val="18"/>
          <w:szCs w:val="20"/>
          <w:lang w:val="en-GB" w:eastAsia="ja-JP"/>
        </w:rPr>
        <w:t xml:space="preserve"> from the moment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was received or optionally when lower layers indicate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 whichever is earlier;</w:t>
      </w:r>
    </w:p>
    <w:p w14:paraId="31854D98" w14:textId="77777777" w:rsidR="00FB6D32" w:rsidRPr="00FB6D32" w:rsidRDefault="00FB6D32" w:rsidP="00FB6D32">
      <w:pPr>
        <w:overflowPunct w:val="0"/>
        <w:autoSpaceDE w:val="0"/>
        <w:autoSpaceDN w:val="0"/>
        <w:adjustRightInd w:val="0"/>
        <w:ind w:left="568" w:hanging="284"/>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1&gt;</w:t>
      </w:r>
      <w:r w:rsidRPr="00FB6D32">
        <w:rPr>
          <w:rFonts w:ascii="Times New Roman" w:eastAsia="Times New Roman" w:hAnsi="Times New Roman" w:cs="Times New Roman"/>
          <w:sz w:val="18"/>
          <w:szCs w:val="20"/>
          <w:lang w:val="en-GB" w:eastAsia="ja-JP"/>
        </w:rPr>
        <w:tab/>
        <w:t xml:space="preserve">for NB-IoT, delay the following actions defined in this clause </w:t>
      </w:r>
      <w:r w:rsidRPr="00FB6D32">
        <w:rPr>
          <w:rFonts w:ascii="Times New Roman" w:eastAsia="Times New Roman" w:hAnsi="Times New Roman" w:cs="Times New Roman"/>
          <w:sz w:val="18"/>
          <w:szCs w:val="20"/>
          <w:highlight w:val="yellow"/>
          <w:lang w:val="en-GB" w:eastAsia="ja-JP"/>
        </w:rPr>
        <w:t>10 seconds</w:t>
      </w:r>
      <w:r w:rsidRPr="00FB6D32">
        <w:rPr>
          <w:rFonts w:ascii="Times New Roman" w:eastAsia="Times New Roman" w:hAnsi="Times New Roman" w:cs="Times New Roman"/>
          <w:sz w:val="18"/>
          <w:szCs w:val="20"/>
          <w:lang w:val="en-GB" w:eastAsia="ja-JP"/>
        </w:rPr>
        <w:t xml:space="preserve"> from the moment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was received or optionally when lower layers indicate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 whichever is earlier.</w:t>
      </w:r>
    </w:p>
    <w:p w14:paraId="61FE7F02" w14:textId="77777777" w:rsidR="00FB6D32" w:rsidRPr="00FB6D32" w:rsidRDefault="00FB6D32" w:rsidP="00FB6D32">
      <w:pPr>
        <w:keepLines/>
        <w:overflowPunct w:val="0"/>
        <w:autoSpaceDE w:val="0"/>
        <w:autoSpaceDN w:val="0"/>
        <w:adjustRightInd w:val="0"/>
        <w:ind w:left="1135" w:hanging="851"/>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NOTE 0:</w:t>
      </w:r>
      <w:r w:rsidRPr="00FB6D32">
        <w:rPr>
          <w:rFonts w:ascii="Times New Roman" w:eastAsia="Times New Roman" w:hAnsi="Times New Roman" w:cs="Times New Roman"/>
          <w:sz w:val="18"/>
          <w:szCs w:val="20"/>
          <w:lang w:val="en-GB" w:eastAsia="ja-JP"/>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w:t>
      </w:r>
    </w:p>
    <w:p w14:paraId="6988879E" w14:textId="2CDF2B8D" w:rsidR="00FB6D32" w:rsidRPr="00B8015A" w:rsidRDefault="00FB6D32" w:rsidP="00B8015A">
      <w:pPr>
        <w:jc w:val="center"/>
        <w:rPr>
          <w:color w:val="FF0000"/>
          <w:lang w:val="en-GB" w:eastAsia="en-US"/>
        </w:rPr>
      </w:pPr>
      <w:r w:rsidRPr="00FB6D32">
        <w:rPr>
          <w:color w:val="FF0000"/>
          <w:lang w:val="en-GB" w:eastAsia="en-US"/>
        </w:rPr>
        <w:t>---------------------- 36.331 V17.5.0 ----------------------</w:t>
      </w:r>
    </w:p>
    <w:p w14:paraId="58029D0F" w14:textId="52F91696" w:rsidR="004A4056" w:rsidRDefault="00BC6473" w:rsidP="008D61D6">
      <w:pPr>
        <w:rPr>
          <w:lang w:val="en-GB" w:eastAsia="en-US"/>
        </w:rPr>
      </w:pPr>
      <w:r>
        <w:rPr>
          <w:lang w:val="en-GB" w:eastAsia="en-US"/>
        </w:rPr>
        <w:t>This was introduced to ensure that the RRC message RRCConnectionRelease can be acknowledged</w:t>
      </w:r>
      <w:r w:rsidR="00873CDA">
        <w:rPr>
          <w:lang w:val="en-GB" w:eastAsia="en-US"/>
        </w:rPr>
        <w:t xml:space="preserve"> so that </w:t>
      </w:r>
      <w:r w:rsidR="00B346DD">
        <w:rPr>
          <w:lang w:val="en-GB" w:eastAsia="en-US"/>
        </w:rPr>
        <w:t>the UE and eNB is synchronized on the state of the UE</w:t>
      </w:r>
      <w:r>
        <w:rPr>
          <w:lang w:val="en-GB" w:eastAsia="en-US"/>
        </w:rPr>
        <w:t xml:space="preserve">. </w:t>
      </w:r>
      <w:r w:rsidR="00E75E9B">
        <w:rPr>
          <w:lang w:val="en-GB" w:eastAsia="en-US"/>
        </w:rPr>
        <w:t>In</w:t>
      </w:r>
      <w:r>
        <w:rPr>
          <w:lang w:val="en-GB" w:eastAsia="en-US"/>
        </w:rPr>
        <w:t xml:space="preserve"> NTN it</w:t>
      </w:r>
      <w:r w:rsidR="00E75E9B">
        <w:rPr>
          <w:lang w:val="en-GB" w:eastAsia="en-US"/>
        </w:rPr>
        <w:t xml:space="preserve"> may</w:t>
      </w:r>
      <w:r>
        <w:rPr>
          <w:lang w:val="en-GB" w:eastAsia="en-US"/>
        </w:rPr>
        <w:t xml:space="preserve"> introduces some issues. One issue is that the cells move relatively fast, which means that what has been configured by RRC release may not be accurate once the time has passed. Another issue is in quasi-earth fixed, where a UE</w:t>
      </w:r>
      <w:r w:rsidR="00EE43AE">
        <w:rPr>
          <w:lang w:val="en-GB" w:eastAsia="en-US"/>
        </w:rPr>
        <w:t xml:space="preserve"> may be released just before t-S</w:t>
      </w:r>
      <w:r>
        <w:rPr>
          <w:lang w:val="en-GB" w:eastAsia="en-US"/>
        </w:rPr>
        <w:t xml:space="preserve">ervice, and thus be forced to wait for the entire duration as the quasi-earth fixed cell has already moved on. This leads to eNB having to release the UE much more in advance before t-Service, further leading to problems of UE attempting to select and connect the quasi-earth fixed cell that is moving away (depending on UE implementation). This can be seen in Figure </w:t>
      </w:r>
      <w:r w:rsidR="00622026">
        <w:rPr>
          <w:lang w:val="en-GB" w:eastAsia="en-US"/>
        </w:rPr>
        <w:t>2</w:t>
      </w:r>
      <w:r w:rsidR="004A4056">
        <w:rPr>
          <w:lang w:val="en-GB" w:eastAsia="en-US"/>
        </w:rPr>
        <w:t>a</w:t>
      </w:r>
      <w:r>
        <w:rPr>
          <w:lang w:val="en-GB" w:eastAsia="en-US"/>
        </w:rPr>
        <w:t xml:space="preserve">. One way to prevent these problems would be to allow UE to release itself </w:t>
      </w:r>
      <w:r w:rsidR="004A4056">
        <w:rPr>
          <w:lang w:val="en-GB" w:eastAsia="en-US"/>
        </w:rPr>
        <w:t>at t-Service</w:t>
      </w:r>
      <w:r w:rsidR="008E7624">
        <w:rPr>
          <w:lang w:val="en-GB" w:eastAsia="en-US"/>
        </w:rPr>
        <w:t xml:space="preserve"> after RRCConnectionRelease have been received</w:t>
      </w:r>
      <w:r w:rsidR="004A4056">
        <w:rPr>
          <w:lang w:val="en-GB" w:eastAsia="en-US"/>
        </w:rPr>
        <w:t xml:space="preserve"> as seen in Figure </w:t>
      </w:r>
      <w:r w:rsidR="00622026">
        <w:rPr>
          <w:lang w:val="en-GB" w:eastAsia="en-US"/>
        </w:rPr>
        <w:t>2</w:t>
      </w:r>
      <w:r w:rsidR="004A4056">
        <w:rPr>
          <w:lang w:val="en-GB" w:eastAsia="en-US"/>
        </w:rPr>
        <w:t xml:space="preserve">b. Thus we propose: </w:t>
      </w:r>
    </w:p>
    <w:p w14:paraId="1EA386EE" w14:textId="1B509BA2" w:rsidR="00622026" w:rsidRDefault="00622026" w:rsidP="00622026">
      <w:pPr>
        <w:keepNext/>
      </w:pPr>
      <w:r>
        <w:rPr>
          <w:noProof/>
          <w:lang w:val="en-GB" w:eastAsia="zh-CN"/>
        </w:rPr>
        <w:lastRenderedPageBreak/>
        <w:drawing>
          <wp:inline distT="0" distB="0" distL="0" distR="0" wp14:anchorId="230F57AF" wp14:editId="5DF501BD">
            <wp:extent cx="6124575" cy="2914650"/>
            <wp:effectExtent l="0" t="0" r="9525" b="0"/>
            <wp:docPr id="1" name="Picture 1" descr="t service release 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 service release fi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4575" cy="2914650"/>
                    </a:xfrm>
                    <a:prstGeom prst="rect">
                      <a:avLst/>
                    </a:prstGeom>
                    <a:noFill/>
                    <a:ln>
                      <a:noFill/>
                    </a:ln>
                  </pic:spPr>
                </pic:pic>
              </a:graphicData>
            </a:graphic>
          </wp:inline>
        </w:drawing>
      </w:r>
    </w:p>
    <w:p w14:paraId="56EB3D00" w14:textId="39641F39" w:rsidR="00622026" w:rsidRDefault="00622026" w:rsidP="00622026">
      <w:pPr>
        <w:pStyle w:val="Caption"/>
        <w:jc w:val="center"/>
        <w:rPr>
          <w:lang w:val="en-GB" w:eastAsia="en-US"/>
        </w:rPr>
      </w:pPr>
      <w:r>
        <w:t xml:space="preserve">Figure </w:t>
      </w:r>
      <w:r>
        <w:fldChar w:fldCharType="begin"/>
      </w:r>
      <w:r>
        <w:instrText xml:space="preserve"> SEQ Figure \* ARABIC </w:instrText>
      </w:r>
      <w:r>
        <w:fldChar w:fldCharType="separate"/>
      </w:r>
      <w:r>
        <w:rPr>
          <w:noProof/>
        </w:rPr>
        <w:t>2</w:t>
      </w:r>
      <w:r>
        <w:fldChar w:fldCharType="end"/>
      </w:r>
      <w:r>
        <w:t>. T-service and RRCConnectionRelease.</w:t>
      </w:r>
    </w:p>
    <w:p w14:paraId="0F76AAE0" w14:textId="531DA223" w:rsidR="004A4056" w:rsidRPr="004977B3" w:rsidRDefault="004A4056" w:rsidP="004A4056">
      <w:pPr>
        <w:jc w:val="both"/>
        <w:rPr>
          <w:b/>
        </w:rPr>
      </w:pPr>
      <w:r>
        <w:rPr>
          <w:b/>
        </w:rPr>
        <w:t xml:space="preserve">Proposal </w:t>
      </w:r>
      <w:r w:rsidR="001607D6">
        <w:rPr>
          <w:b/>
        </w:rPr>
        <w:t>4</w:t>
      </w:r>
      <w:r>
        <w:rPr>
          <w:b/>
        </w:rPr>
        <w:t xml:space="preserve">: Allow UE to start RRC Connection Release procedures at </w:t>
      </w:r>
      <w:r w:rsidR="00DD2CFA">
        <w:rPr>
          <w:b/>
        </w:rPr>
        <w:t>t</w:t>
      </w:r>
      <w:r>
        <w:rPr>
          <w:b/>
        </w:rPr>
        <w:t>-</w:t>
      </w:r>
      <w:r w:rsidR="00DD2CFA">
        <w:rPr>
          <w:b/>
        </w:rPr>
        <w:t xml:space="preserve">Service </w:t>
      </w:r>
      <w:r>
        <w:rPr>
          <w:b/>
        </w:rPr>
        <w:t xml:space="preserve">if RRCConnectionRelease(-NB) is received before </w:t>
      </w:r>
      <w:r w:rsidR="00DD2CFA">
        <w:rPr>
          <w:b/>
        </w:rPr>
        <w:t>t</w:t>
      </w:r>
      <w:r>
        <w:rPr>
          <w:b/>
        </w:rPr>
        <w:t>-Service.</w:t>
      </w:r>
    </w:p>
    <w:p w14:paraId="15FC2F1D" w14:textId="5AD8DBA9" w:rsidR="00647B8D" w:rsidRPr="00216998" w:rsidRDefault="00647B8D" w:rsidP="00216998">
      <w:pPr>
        <w:rPr>
          <w:lang w:val="en-GB" w:eastAsia="en-US"/>
        </w:rPr>
      </w:pPr>
    </w:p>
    <w:p w14:paraId="5FF2457F" w14:textId="72E1A9E3" w:rsidR="00A209D6" w:rsidRPr="006E13D1" w:rsidRDefault="008C3057" w:rsidP="003F11FC">
      <w:pPr>
        <w:pStyle w:val="Heading1"/>
        <w:jc w:val="both"/>
      </w:pPr>
      <w:r>
        <w:t>Conclusion</w:t>
      </w:r>
    </w:p>
    <w:p w14:paraId="6B206649" w14:textId="4EF836A6"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w:t>
      </w:r>
      <w:r w:rsidR="00EB348E">
        <w:rPr>
          <w:lang w:eastAsia="ko-KR"/>
        </w:rPr>
        <w:t>related to other mobility enhancements for</w:t>
      </w:r>
      <w:r w:rsidR="00944EC6">
        <w:rPr>
          <w:lang w:eastAsia="ko-KR"/>
        </w:rPr>
        <w:t xml:space="preserve"> NTN. </w:t>
      </w:r>
    </w:p>
    <w:p w14:paraId="51670759" w14:textId="77777777" w:rsidR="00DF0A31" w:rsidRPr="00D6233C" w:rsidRDefault="00DF0A31" w:rsidP="00DF0A31">
      <w:pPr>
        <w:jc w:val="both"/>
        <w:rPr>
          <w:b/>
        </w:rPr>
      </w:pPr>
      <w:r w:rsidRPr="00D6233C">
        <w:rPr>
          <w:b/>
        </w:rPr>
        <w:t xml:space="preserve">Observation 1: CHO command may become prohibitively large </w:t>
      </w:r>
      <w:r>
        <w:rPr>
          <w:b/>
        </w:rPr>
        <w:t>because of repeated dedicated SIB31 elements</w:t>
      </w:r>
      <w:r w:rsidRPr="00D6233C">
        <w:rPr>
          <w:b/>
        </w:rPr>
        <w:t xml:space="preserve">. </w:t>
      </w:r>
    </w:p>
    <w:p w14:paraId="16B03260" w14:textId="77777777" w:rsidR="00D4766D" w:rsidRPr="00F97E01" w:rsidRDefault="00D4766D" w:rsidP="00FA3474">
      <w:pPr>
        <w:rPr>
          <w:lang w:eastAsia="ko-KR"/>
        </w:rPr>
      </w:pPr>
    </w:p>
    <w:p w14:paraId="404A46AB" w14:textId="77777777" w:rsidR="00DF0A31" w:rsidRDefault="00DF0A31" w:rsidP="00DF0A31">
      <w:pPr>
        <w:jc w:val="both"/>
        <w:rPr>
          <w:b/>
        </w:rPr>
      </w:pPr>
      <w:r>
        <w:rPr>
          <w:b/>
        </w:rPr>
        <w:t>Proposal 1: RAN2 considers the following for whether conditional handovers can be configured independently:</w:t>
      </w:r>
    </w:p>
    <w:p w14:paraId="7C85D7C6" w14:textId="77777777" w:rsidR="00DF0A31" w:rsidRPr="005F4E3E" w:rsidRDefault="00DF0A31" w:rsidP="00DF0A31">
      <w:pPr>
        <w:pStyle w:val="ListParagraph"/>
        <w:numPr>
          <w:ilvl w:val="0"/>
          <w:numId w:val="9"/>
        </w:numPr>
        <w:jc w:val="both"/>
        <w:rPr>
          <w:b/>
          <w:sz w:val="20"/>
        </w:rPr>
      </w:pPr>
      <w:r w:rsidRPr="005F4E3E">
        <w:rPr>
          <w:b/>
          <w:sz w:val="20"/>
        </w:rPr>
        <w:t>Allow for independent triggering of condEventT1 and condEventD1 and introduce procedures for failing synchronization</w:t>
      </w:r>
    </w:p>
    <w:p w14:paraId="35B3B5F9" w14:textId="77777777" w:rsidR="00DF0A31" w:rsidRPr="005F4E3E" w:rsidRDefault="00DF0A31" w:rsidP="00DF0A31">
      <w:pPr>
        <w:pStyle w:val="ListParagraph"/>
        <w:numPr>
          <w:ilvl w:val="0"/>
          <w:numId w:val="9"/>
        </w:numPr>
        <w:jc w:val="both"/>
        <w:rPr>
          <w:b/>
          <w:sz w:val="20"/>
        </w:rPr>
      </w:pPr>
      <w:r w:rsidRPr="005F4E3E">
        <w:rPr>
          <w:b/>
          <w:sz w:val="20"/>
        </w:rPr>
        <w:t xml:space="preserve">Do not allow independent triggering of condEventT1 and condEventD1 – </w:t>
      </w:r>
      <w:r>
        <w:rPr>
          <w:b/>
          <w:sz w:val="20"/>
        </w:rPr>
        <w:t xml:space="preserve">similar to </w:t>
      </w:r>
      <w:r w:rsidRPr="005F4E3E">
        <w:rPr>
          <w:b/>
          <w:sz w:val="20"/>
        </w:rPr>
        <w:t>NR NTN</w:t>
      </w:r>
    </w:p>
    <w:p w14:paraId="40B5B3D6" w14:textId="1046D21E" w:rsidR="00622026" w:rsidRDefault="001607D6" w:rsidP="00B102EF">
      <w:pPr>
        <w:jc w:val="both"/>
        <w:rPr>
          <w:b/>
        </w:rPr>
      </w:pPr>
      <w:r>
        <w:rPr>
          <w:b/>
        </w:rPr>
        <w:br/>
      </w:r>
      <w:r w:rsidR="00DF0A31">
        <w:rPr>
          <w:b/>
        </w:rPr>
        <w:t>Proposal 2: RAN2 to work on reducing the size of the CHO handover command by sending ephemeris per satellite/per eNB.</w:t>
      </w:r>
    </w:p>
    <w:p w14:paraId="2D5BF869" w14:textId="77777777" w:rsidR="00DF0A31" w:rsidRDefault="00DF0A31" w:rsidP="00DF0A31">
      <w:pPr>
        <w:spacing w:after="60"/>
        <w:jc w:val="both"/>
        <w:rPr>
          <w:b/>
        </w:rPr>
      </w:pPr>
      <w:r>
        <w:rPr>
          <w:b/>
        </w:rPr>
        <w:t xml:space="preserve">Proposal 3: For eMTC RACH-less the agreements in NR NTN can directly apply to IoT NTN: </w:t>
      </w:r>
    </w:p>
    <w:p w14:paraId="3C55A1EC" w14:textId="77777777" w:rsidR="00DF0A31" w:rsidRDefault="00DF0A31" w:rsidP="00DF0A31">
      <w:pPr>
        <w:spacing w:after="60"/>
        <w:jc w:val="both"/>
        <w:rPr>
          <w:b/>
        </w:rPr>
      </w:pPr>
      <w:r>
        <w:rPr>
          <w:b/>
        </w:rPr>
        <w:tab/>
      </w:r>
      <w:r>
        <w:rPr>
          <w:b/>
        </w:rPr>
        <w:tab/>
        <w:t>- In Rel-18 we do not introduce enhancements for RACH-less NTN-TN HO</w:t>
      </w:r>
    </w:p>
    <w:p w14:paraId="3C31A30A" w14:textId="77777777" w:rsidR="00DF0A31" w:rsidRDefault="00DF0A31" w:rsidP="00DF0A31">
      <w:pPr>
        <w:spacing w:after="60"/>
        <w:jc w:val="both"/>
        <w:rPr>
          <w:b/>
        </w:rPr>
      </w:pPr>
      <w:r>
        <w:rPr>
          <w:b/>
        </w:rPr>
        <w:tab/>
      </w:r>
      <w:r>
        <w:rPr>
          <w:b/>
        </w:rPr>
        <w:tab/>
        <w:t>- NTN RACH-less HO is supported for Intra-satellite handover with the same feeder link. i.e with same gateway/eNB.</w:t>
      </w:r>
    </w:p>
    <w:p w14:paraId="57489B56" w14:textId="77777777" w:rsidR="00DF0A31" w:rsidRDefault="00DF0A31" w:rsidP="00DF0A31">
      <w:pPr>
        <w:spacing w:after="60"/>
        <w:jc w:val="both"/>
        <w:rPr>
          <w:b/>
        </w:rPr>
      </w:pPr>
      <w:r>
        <w:rPr>
          <w:b/>
        </w:rPr>
        <w:tab/>
      </w:r>
      <w:r>
        <w:rPr>
          <w:b/>
        </w:rPr>
        <w:tab/>
        <w:t xml:space="preserve">- NTN RACH-less HO can be supported for intra-satellite handover with different feeder links, i.e., with gateway/eNB switch, inter-satellite handover with gateway/eNB switch, and inter-satellite handover with same gateway/eNB. </w:t>
      </w:r>
    </w:p>
    <w:p w14:paraId="177C10E1" w14:textId="77777777" w:rsidR="00DF0A31" w:rsidRDefault="00DF0A31" w:rsidP="00DF0A31">
      <w:pPr>
        <w:spacing w:after="60"/>
        <w:jc w:val="both"/>
        <w:rPr>
          <w:b/>
        </w:rPr>
      </w:pPr>
      <w:r>
        <w:rPr>
          <w:b/>
        </w:rPr>
        <w:tab/>
      </w:r>
      <w:r>
        <w:rPr>
          <w:b/>
        </w:rPr>
        <w:tab/>
        <w:t xml:space="preserve">- in NTN RACH-less handover, NW either indicates NTA in the target cell is identical to the source cell, or the NTA explicitly provided by the NW is 0. RAN2 will not discuss the case where NTA does not equal 0. </w:t>
      </w:r>
    </w:p>
    <w:p w14:paraId="0DA04B07" w14:textId="77777777" w:rsidR="00DF0A31" w:rsidRDefault="00DF0A31" w:rsidP="00DF0A31">
      <w:pPr>
        <w:spacing w:after="60"/>
        <w:jc w:val="both"/>
        <w:rPr>
          <w:b/>
        </w:rPr>
      </w:pPr>
      <w:r>
        <w:rPr>
          <w:b/>
        </w:rPr>
        <w:tab/>
      </w:r>
      <w:r>
        <w:rPr>
          <w:b/>
        </w:rPr>
        <w:tab/>
        <w:t xml:space="preserve">- RAN2 assumes the UL sync handling in the target cell is the same in RACH-based HO and RACH-less HO, except how to acquire NTA. </w:t>
      </w:r>
    </w:p>
    <w:p w14:paraId="1CC8344E" w14:textId="77777777" w:rsidR="001607D6" w:rsidRDefault="001607D6" w:rsidP="001607D6">
      <w:pPr>
        <w:spacing w:after="60"/>
        <w:jc w:val="both"/>
        <w:rPr>
          <w:b/>
        </w:rPr>
      </w:pPr>
      <w:r>
        <w:rPr>
          <w:b/>
        </w:rPr>
        <w:tab/>
      </w:r>
      <w:r>
        <w:rPr>
          <w:b/>
        </w:rPr>
        <w:tab/>
        <w:t xml:space="preserve">- RAN2 assumes the UL sync handling in the target cell is the same in RACH-based HO and RACH-less HO, except how to acquire NTA. </w:t>
      </w:r>
    </w:p>
    <w:p w14:paraId="796CECFC" w14:textId="77777777" w:rsidR="00DF0A31" w:rsidRPr="004977B3" w:rsidRDefault="00DF0A31" w:rsidP="00DF0A31">
      <w:pPr>
        <w:jc w:val="both"/>
        <w:rPr>
          <w:b/>
        </w:rPr>
      </w:pPr>
      <w:r>
        <w:rPr>
          <w:b/>
        </w:rPr>
        <w:lastRenderedPageBreak/>
        <w:t>Proposal 4: Allow UE to start RRC Connection Release procedures at t-Service if RRCConnectionRelease(-NB) is received before t-Service.</w:t>
      </w:r>
    </w:p>
    <w:p w14:paraId="6408D72B" w14:textId="59651DF4" w:rsidR="0083484D" w:rsidRPr="00FF7C4E" w:rsidRDefault="00051DF8" w:rsidP="0083484D">
      <w:pPr>
        <w:pStyle w:val="Heading1"/>
      </w:pPr>
      <w:r>
        <w:t>Reference</w:t>
      </w:r>
      <w:r w:rsidR="0083484D" w:rsidRPr="00001886">
        <w:t xml:space="preserve"> </w:t>
      </w:r>
    </w:p>
    <w:p w14:paraId="509A3F24" w14:textId="77777777" w:rsidR="005C0CD8" w:rsidRPr="00D32165" w:rsidRDefault="005C0CD8" w:rsidP="005C0CD8">
      <w:pPr>
        <w:pStyle w:val="references"/>
        <w:spacing w:after="180" w:line="240" w:lineRule="auto"/>
        <w:rPr>
          <w:szCs w:val="20"/>
        </w:rPr>
      </w:pPr>
      <w:r>
        <w:rPr>
          <w:rFonts w:ascii="Arial" w:hAnsi="Arial" w:cs="Arial"/>
          <w:szCs w:val="20"/>
        </w:rPr>
        <w:t>RP-213596, New WID on IoT NTN enhancements, Mediatek Inc., RAN#94-e, December 2021</w:t>
      </w:r>
    </w:p>
    <w:p w14:paraId="487537F2" w14:textId="27B79194" w:rsidR="005C0CD8" w:rsidRPr="006029D4" w:rsidRDefault="005C0CD8" w:rsidP="005C0CD8">
      <w:pPr>
        <w:pStyle w:val="references"/>
        <w:spacing w:after="180" w:line="240" w:lineRule="auto"/>
        <w:rPr>
          <w:szCs w:val="20"/>
        </w:rPr>
      </w:pPr>
      <w:r>
        <w:rPr>
          <w:rFonts w:ascii="Arial" w:hAnsi="Arial" w:cs="Arial"/>
          <w:szCs w:val="20"/>
        </w:rPr>
        <w:t>RP-223519, Revised WID on IoT NTN enhancements, Mediatek Inc., RAN#98-e, December 2022</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E9EBAE4" w14:textId="77777777" w:rsidR="0087040B" w:rsidRPr="0087040B" w:rsidRDefault="0087040B" w:rsidP="0004383E">
      <w:pPr>
        <w:rPr>
          <w:lang w:val="en-GB" w:eastAsia="en-US"/>
        </w:rPr>
      </w:pPr>
    </w:p>
    <w:sectPr w:rsidR="0087040B" w:rsidRPr="008704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D3B53" w14:textId="77777777" w:rsidR="00335525" w:rsidRDefault="00335525" w:rsidP="00051DF8">
      <w:r>
        <w:separator/>
      </w:r>
    </w:p>
  </w:endnote>
  <w:endnote w:type="continuationSeparator" w:id="0">
    <w:p w14:paraId="218399E0" w14:textId="77777777" w:rsidR="00335525" w:rsidRDefault="00335525" w:rsidP="00051DF8">
      <w:r>
        <w:continuationSeparator/>
      </w:r>
    </w:p>
  </w:endnote>
  <w:endnote w:type="continuationNotice" w:id="1">
    <w:p w14:paraId="7A61BA96" w14:textId="77777777" w:rsidR="00335525" w:rsidRDefault="0033552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04387" w14:textId="77777777" w:rsidR="00335525" w:rsidRDefault="00335525" w:rsidP="00051DF8">
      <w:r>
        <w:separator/>
      </w:r>
    </w:p>
  </w:footnote>
  <w:footnote w:type="continuationSeparator" w:id="0">
    <w:p w14:paraId="1D8F38CA" w14:textId="77777777" w:rsidR="00335525" w:rsidRDefault="00335525" w:rsidP="00051DF8">
      <w:r>
        <w:continuationSeparator/>
      </w:r>
    </w:p>
  </w:footnote>
  <w:footnote w:type="continuationNotice" w:id="1">
    <w:p w14:paraId="1892297D" w14:textId="77777777" w:rsidR="00335525" w:rsidRDefault="0033552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D0C2780"/>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6"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AA73019"/>
    <w:multiLevelType w:val="hybridMultilevel"/>
    <w:tmpl w:val="42B6AE12"/>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9"/>
  </w:num>
  <w:num w:numId="3">
    <w:abstractNumId w:val="15"/>
  </w:num>
  <w:num w:numId="4">
    <w:abstractNumId w:val="12"/>
  </w:num>
  <w:num w:numId="5">
    <w:abstractNumId w:val="13"/>
  </w:num>
  <w:num w:numId="6">
    <w:abstractNumId w:val="10"/>
  </w:num>
  <w:num w:numId="7">
    <w:abstractNumId w:val="5"/>
  </w:num>
  <w:num w:numId="8">
    <w:abstractNumId w:val="14"/>
  </w:num>
  <w:num w:numId="9">
    <w:abstractNumId w:val="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6"/>
  </w:num>
  <w:num w:numId="13">
    <w:abstractNumId w:val="3"/>
  </w:num>
  <w:num w:numId="14">
    <w:abstractNumId w:val="0"/>
  </w:num>
  <w:num w:numId="15">
    <w:abstractNumId w:val="6"/>
  </w:num>
  <w:num w:numId="16">
    <w:abstractNumId w:val="11"/>
  </w:num>
  <w:num w:numId="17">
    <w:abstractNumId w:val="4"/>
  </w:num>
  <w:num w:numId="18">
    <w:abstractNumId w:val="21"/>
  </w:num>
  <w:num w:numId="19">
    <w:abstractNumId w:val="17"/>
  </w:num>
  <w:num w:numId="20">
    <w:abstractNumId w:val="20"/>
  </w:num>
  <w:num w:numId="21">
    <w:abstractNumId w:val="8"/>
  </w:num>
  <w:num w:numId="22">
    <w:abstractNumId w:val="9"/>
  </w:num>
  <w:num w:numId="2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489"/>
    <w:rsid w:val="0001163B"/>
    <w:rsid w:val="00011C8D"/>
    <w:rsid w:val="00013CDB"/>
    <w:rsid w:val="00013F5D"/>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57DB1"/>
    <w:rsid w:val="00065268"/>
    <w:rsid w:val="00070BD9"/>
    <w:rsid w:val="000716D4"/>
    <w:rsid w:val="00071C4F"/>
    <w:rsid w:val="00072646"/>
    <w:rsid w:val="00073C9C"/>
    <w:rsid w:val="0007792A"/>
    <w:rsid w:val="00080512"/>
    <w:rsid w:val="00081240"/>
    <w:rsid w:val="00081A12"/>
    <w:rsid w:val="0008378E"/>
    <w:rsid w:val="00085269"/>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4CAD"/>
    <w:rsid w:val="000C522B"/>
    <w:rsid w:val="000C5340"/>
    <w:rsid w:val="000D2E51"/>
    <w:rsid w:val="000D3336"/>
    <w:rsid w:val="000D4B95"/>
    <w:rsid w:val="000D58AB"/>
    <w:rsid w:val="000D64F1"/>
    <w:rsid w:val="000D6E3F"/>
    <w:rsid w:val="000D75DC"/>
    <w:rsid w:val="000E01FF"/>
    <w:rsid w:val="000E3934"/>
    <w:rsid w:val="000E4069"/>
    <w:rsid w:val="000E5108"/>
    <w:rsid w:val="000F4421"/>
    <w:rsid w:val="000F481F"/>
    <w:rsid w:val="000F526A"/>
    <w:rsid w:val="000F57DC"/>
    <w:rsid w:val="000F6A70"/>
    <w:rsid w:val="000F6CE7"/>
    <w:rsid w:val="000F7A11"/>
    <w:rsid w:val="00100327"/>
    <w:rsid w:val="001011C1"/>
    <w:rsid w:val="0010368C"/>
    <w:rsid w:val="00104660"/>
    <w:rsid w:val="0010781D"/>
    <w:rsid w:val="00112AE8"/>
    <w:rsid w:val="00112F1A"/>
    <w:rsid w:val="0012049E"/>
    <w:rsid w:val="00122585"/>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B8"/>
    <w:rsid w:val="001607D6"/>
    <w:rsid w:val="001617E5"/>
    <w:rsid w:val="00165A0D"/>
    <w:rsid w:val="001664CC"/>
    <w:rsid w:val="00166728"/>
    <w:rsid w:val="00171DA1"/>
    <w:rsid w:val="00171E91"/>
    <w:rsid w:val="001741A0"/>
    <w:rsid w:val="00174291"/>
    <w:rsid w:val="001754B9"/>
    <w:rsid w:val="00175FA0"/>
    <w:rsid w:val="00177120"/>
    <w:rsid w:val="00180692"/>
    <w:rsid w:val="00182E67"/>
    <w:rsid w:val="00182FEC"/>
    <w:rsid w:val="00183655"/>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343"/>
    <w:rsid w:val="001962AF"/>
    <w:rsid w:val="001976B3"/>
    <w:rsid w:val="00197FF3"/>
    <w:rsid w:val="001A18D7"/>
    <w:rsid w:val="001A3191"/>
    <w:rsid w:val="001A3CA6"/>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4224"/>
    <w:rsid w:val="001D6647"/>
    <w:rsid w:val="001E10D0"/>
    <w:rsid w:val="001F168B"/>
    <w:rsid w:val="001F1A50"/>
    <w:rsid w:val="001F7831"/>
    <w:rsid w:val="002013CD"/>
    <w:rsid w:val="00204045"/>
    <w:rsid w:val="0020712B"/>
    <w:rsid w:val="0021231D"/>
    <w:rsid w:val="00212942"/>
    <w:rsid w:val="00212A26"/>
    <w:rsid w:val="00214804"/>
    <w:rsid w:val="00216876"/>
    <w:rsid w:val="00216998"/>
    <w:rsid w:val="002171B2"/>
    <w:rsid w:val="00220815"/>
    <w:rsid w:val="002219AC"/>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815C0"/>
    <w:rsid w:val="00282901"/>
    <w:rsid w:val="00283F62"/>
    <w:rsid w:val="002840C7"/>
    <w:rsid w:val="00284E78"/>
    <w:rsid w:val="002855BF"/>
    <w:rsid w:val="00287326"/>
    <w:rsid w:val="00290336"/>
    <w:rsid w:val="00292EB4"/>
    <w:rsid w:val="00292FC9"/>
    <w:rsid w:val="00294376"/>
    <w:rsid w:val="00297193"/>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5B7D"/>
    <w:rsid w:val="002D657A"/>
    <w:rsid w:val="002D7F26"/>
    <w:rsid w:val="002E246F"/>
    <w:rsid w:val="002E26C0"/>
    <w:rsid w:val="002E5362"/>
    <w:rsid w:val="002E79BB"/>
    <w:rsid w:val="002F00A4"/>
    <w:rsid w:val="002F0D22"/>
    <w:rsid w:val="002F12A5"/>
    <w:rsid w:val="002F244D"/>
    <w:rsid w:val="002F3DF3"/>
    <w:rsid w:val="002F4782"/>
    <w:rsid w:val="0030563B"/>
    <w:rsid w:val="00305DAA"/>
    <w:rsid w:val="00306241"/>
    <w:rsid w:val="003073B9"/>
    <w:rsid w:val="003105EB"/>
    <w:rsid w:val="0031081F"/>
    <w:rsid w:val="00310D9A"/>
    <w:rsid w:val="00311B17"/>
    <w:rsid w:val="003133F1"/>
    <w:rsid w:val="003136A2"/>
    <w:rsid w:val="003172DC"/>
    <w:rsid w:val="0032086B"/>
    <w:rsid w:val="003211D6"/>
    <w:rsid w:val="00323D2C"/>
    <w:rsid w:val="003243BA"/>
    <w:rsid w:val="00324E66"/>
    <w:rsid w:val="003255FD"/>
    <w:rsid w:val="00325AE3"/>
    <w:rsid w:val="00326069"/>
    <w:rsid w:val="00327E5D"/>
    <w:rsid w:val="00331565"/>
    <w:rsid w:val="00333345"/>
    <w:rsid w:val="00335525"/>
    <w:rsid w:val="00335A5E"/>
    <w:rsid w:val="00337559"/>
    <w:rsid w:val="00337C3B"/>
    <w:rsid w:val="00342E29"/>
    <w:rsid w:val="00343335"/>
    <w:rsid w:val="00343806"/>
    <w:rsid w:val="003463C4"/>
    <w:rsid w:val="00347B20"/>
    <w:rsid w:val="00347D9B"/>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62C0"/>
    <w:rsid w:val="00377F37"/>
    <w:rsid w:val="00381708"/>
    <w:rsid w:val="00381804"/>
    <w:rsid w:val="003824C2"/>
    <w:rsid w:val="00382C4D"/>
    <w:rsid w:val="00383096"/>
    <w:rsid w:val="00384561"/>
    <w:rsid w:val="0038467F"/>
    <w:rsid w:val="00385E77"/>
    <w:rsid w:val="00387011"/>
    <w:rsid w:val="003873E9"/>
    <w:rsid w:val="00387B0B"/>
    <w:rsid w:val="00390633"/>
    <w:rsid w:val="00390C09"/>
    <w:rsid w:val="00390D6B"/>
    <w:rsid w:val="0039346C"/>
    <w:rsid w:val="00395772"/>
    <w:rsid w:val="003972FF"/>
    <w:rsid w:val="003A133F"/>
    <w:rsid w:val="003A229C"/>
    <w:rsid w:val="003A3DB5"/>
    <w:rsid w:val="003A41EF"/>
    <w:rsid w:val="003A527F"/>
    <w:rsid w:val="003A565C"/>
    <w:rsid w:val="003B0477"/>
    <w:rsid w:val="003B2EAB"/>
    <w:rsid w:val="003B40AD"/>
    <w:rsid w:val="003B6290"/>
    <w:rsid w:val="003B73F6"/>
    <w:rsid w:val="003B79E3"/>
    <w:rsid w:val="003C1A2A"/>
    <w:rsid w:val="003C237F"/>
    <w:rsid w:val="003C291C"/>
    <w:rsid w:val="003C311A"/>
    <w:rsid w:val="003C4E37"/>
    <w:rsid w:val="003C5533"/>
    <w:rsid w:val="003C5DF8"/>
    <w:rsid w:val="003D127F"/>
    <w:rsid w:val="003D1579"/>
    <w:rsid w:val="003D3519"/>
    <w:rsid w:val="003D4028"/>
    <w:rsid w:val="003D4B16"/>
    <w:rsid w:val="003E01A2"/>
    <w:rsid w:val="003E136B"/>
    <w:rsid w:val="003E16BE"/>
    <w:rsid w:val="003E17A4"/>
    <w:rsid w:val="003E676B"/>
    <w:rsid w:val="003E7831"/>
    <w:rsid w:val="003F111A"/>
    <w:rsid w:val="003F11FC"/>
    <w:rsid w:val="003F24B6"/>
    <w:rsid w:val="003F2920"/>
    <w:rsid w:val="003F3214"/>
    <w:rsid w:val="003F4E28"/>
    <w:rsid w:val="003F7CC9"/>
    <w:rsid w:val="004006E8"/>
    <w:rsid w:val="00401855"/>
    <w:rsid w:val="0040228D"/>
    <w:rsid w:val="00402A52"/>
    <w:rsid w:val="0040702D"/>
    <w:rsid w:val="00413F2F"/>
    <w:rsid w:val="00414017"/>
    <w:rsid w:val="004174EF"/>
    <w:rsid w:val="0042280C"/>
    <w:rsid w:val="00423FBE"/>
    <w:rsid w:val="00427D3B"/>
    <w:rsid w:val="00431669"/>
    <w:rsid w:val="004322B3"/>
    <w:rsid w:val="00432BC9"/>
    <w:rsid w:val="00432BE2"/>
    <w:rsid w:val="00432F4A"/>
    <w:rsid w:val="0043670F"/>
    <w:rsid w:val="00441FD9"/>
    <w:rsid w:val="004433CF"/>
    <w:rsid w:val="0044406B"/>
    <w:rsid w:val="0044738E"/>
    <w:rsid w:val="00451660"/>
    <w:rsid w:val="00452280"/>
    <w:rsid w:val="0046003F"/>
    <w:rsid w:val="00460A99"/>
    <w:rsid w:val="00461101"/>
    <w:rsid w:val="00463D4C"/>
    <w:rsid w:val="00465587"/>
    <w:rsid w:val="004657C7"/>
    <w:rsid w:val="00465C07"/>
    <w:rsid w:val="00466E1F"/>
    <w:rsid w:val="0046720C"/>
    <w:rsid w:val="0047086C"/>
    <w:rsid w:val="004746FD"/>
    <w:rsid w:val="00477252"/>
    <w:rsid w:val="00477455"/>
    <w:rsid w:val="004779FB"/>
    <w:rsid w:val="00480FE0"/>
    <w:rsid w:val="00487060"/>
    <w:rsid w:val="004901A6"/>
    <w:rsid w:val="00490325"/>
    <w:rsid w:val="00490C92"/>
    <w:rsid w:val="004937F8"/>
    <w:rsid w:val="00493A0E"/>
    <w:rsid w:val="0049775E"/>
    <w:rsid w:val="004977B3"/>
    <w:rsid w:val="004A10EE"/>
    <w:rsid w:val="004A1F7B"/>
    <w:rsid w:val="004A3412"/>
    <w:rsid w:val="004A34B4"/>
    <w:rsid w:val="004A34E6"/>
    <w:rsid w:val="004A405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179DA"/>
    <w:rsid w:val="005214BC"/>
    <w:rsid w:val="00524A37"/>
    <w:rsid w:val="00527C31"/>
    <w:rsid w:val="00527F2A"/>
    <w:rsid w:val="00531FAA"/>
    <w:rsid w:val="005347CB"/>
    <w:rsid w:val="00534DA0"/>
    <w:rsid w:val="00535EC5"/>
    <w:rsid w:val="00536A0E"/>
    <w:rsid w:val="00537568"/>
    <w:rsid w:val="00542000"/>
    <w:rsid w:val="00543E6C"/>
    <w:rsid w:val="00545713"/>
    <w:rsid w:val="005461EF"/>
    <w:rsid w:val="0054761B"/>
    <w:rsid w:val="00547A10"/>
    <w:rsid w:val="00547C85"/>
    <w:rsid w:val="00551763"/>
    <w:rsid w:val="005525D5"/>
    <w:rsid w:val="0055422F"/>
    <w:rsid w:val="005545EE"/>
    <w:rsid w:val="00557338"/>
    <w:rsid w:val="00557FA0"/>
    <w:rsid w:val="005625DD"/>
    <w:rsid w:val="005642A1"/>
    <w:rsid w:val="00565087"/>
    <w:rsid w:val="0056573F"/>
    <w:rsid w:val="00565B21"/>
    <w:rsid w:val="0056656C"/>
    <w:rsid w:val="00570C75"/>
    <w:rsid w:val="00571279"/>
    <w:rsid w:val="00572564"/>
    <w:rsid w:val="00572895"/>
    <w:rsid w:val="005739BD"/>
    <w:rsid w:val="005739CE"/>
    <w:rsid w:val="00575070"/>
    <w:rsid w:val="005752D5"/>
    <w:rsid w:val="0057598B"/>
    <w:rsid w:val="005767AB"/>
    <w:rsid w:val="0058077E"/>
    <w:rsid w:val="00583007"/>
    <w:rsid w:val="00584044"/>
    <w:rsid w:val="0058460B"/>
    <w:rsid w:val="00590344"/>
    <w:rsid w:val="00591E74"/>
    <w:rsid w:val="0059328F"/>
    <w:rsid w:val="00594B6F"/>
    <w:rsid w:val="00595AAB"/>
    <w:rsid w:val="00596097"/>
    <w:rsid w:val="00596B5D"/>
    <w:rsid w:val="005A4665"/>
    <w:rsid w:val="005A49C6"/>
    <w:rsid w:val="005A4D6D"/>
    <w:rsid w:val="005A6523"/>
    <w:rsid w:val="005A68D5"/>
    <w:rsid w:val="005A6CA2"/>
    <w:rsid w:val="005B598B"/>
    <w:rsid w:val="005C007C"/>
    <w:rsid w:val="005C0359"/>
    <w:rsid w:val="005C08C2"/>
    <w:rsid w:val="005C0CD8"/>
    <w:rsid w:val="005C1A18"/>
    <w:rsid w:val="005C2F10"/>
    <w:rsid w:val="005C39FF"/>
    <w:rsid w:val="005C4665"/>
    <w:rsid w:val="005C4726"/>
    <w:rsid w:val="005C64F2"/>
    <w:rsid w:val="005C76A8"/>
    <w:rsid w:val="005C78A8"/>
    <w:rsid w:val="005D1091"/>
    <w:rsid w:val="005D2171"/>
    <w:rsid w:val="005D2ED5"/>
    <w:rsid w:val="005D4207"/>
    <w:rsid w:val="005D6E49"/>
    <w:rsid w:val="005D725F"/>
    <w:rsid w:val="005E0F2D"/>
    <w:rsid w:val="005E2857"/>
    <w:rsid w:val="005E28FB"/>
    <w:rsid w:val="005F0D6D"/>
    <w:rsid w:val="005F19F9"/>
    <w:rsid w:val="005F2403"/>
    <w:rsid w:val="005F4E3E"/>
    <w:rsid w:val="005F5854"/>
    <w:rsid w:val="005F5FC6"/>
    <w:rsid w:val="0060107D"/>
    <w:rsid w:val="00601EDF"/>
    <w:rsid w:val="00601F46"/>
    <w:rsid w:val="006029D4"/>
    <w:rsid w:val="00602F40"/>
    <w:rsid w:val="00603B63"/>
    <w:rsid w:val="00603D62"/>
    <w:rsid w:val="00604294"/>
    <w:rsid w:val="006048A8"/>
    <w:rsid w:val="0060686C"/>
    <w:rsid w:val="00606BD6"/>
    <w:rsid w:val="00606E38"/>
    <w:rsid w:val="0061000C"/>
    <w:rsid w:val="00610FFB"/>
    <w:rsid w:val="00611566"/>
    <w:rsid w:val="00611868"/>
    <w:rsid w:val="00613366"/>
    <w:rsid w:val="006150D4"/>
    <w:rsid w:val="006158E3"/>
    <w:rsid w:val="006160D7"/>
    <w:rsid w:val="00622026"/>
    <w:rsid w:val="00622FDA"/>
    <w:rsid w:val="006233AD"/>
    <w:rsid w:val="00624813"/>
    <w:rsid w:val="00624C07"/>
    <w:rsid w:val="0062582C"/>
    <w:rsid w:val="00625B0A"/>
    <w:rsid w:val="00632396"/>
    <w:rsid w:val="006326D4"/>
    <w:rsid w:val="006350E9"/>
    <w:rsid w:val="00635845"/>
    <w:rsid w:val="00640307"/>
    <w:rsid w:val="00646D99"/>
    <w:rsid w:val="006479C4"/>
    <w:rsid w:val="00647B8D"/>
    <w:rsid w:val="006504D6"/>
    <w:rsid w:val="00650567"/>
    <w:rsid w:val="006510E9"/>
    <w:rsid w:val="00652908"/>
    <w:rsid w:val="00652B9E"/>
    <w:rsid w:val="00652FCD"/>
    <w:rsid w:val="00653358"/>
    <w:rsid w:val="006541A1"/>
    <w:rsid w:val="006543AF"/>
    <w:rsid w:val="00654596"/>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348"/>
    <w:rsid w:val="006854C3"/>
    <w:rsid w:val="00690ED2"/>
    <w:rsid w:val="00692ED7"/>
    <w:rsid w:val="00694F59"/>
    <w:rsid w:val="00696821"/>
    <w:rsid w:val="006A19A8"/>
    <w:rsid w:val="006A1A2B"/>
    <w:rsid w:val="006A242E"/>
    <w:rsid w:val="006A416F"/>
    <w:rsid w:val="006A4A4B"/>
    <w:rsid w:val="006B2C4A"/>
    <w:rsid w:val="006B5CF7"/>
    <w:rsid w:val="006C1B70"/>
    <w:rsid w:val="006C2167"/>
    <w:rsid w:val="006C2BF6"/>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29F"/>
    <w:rsid w:val="006E4AE6"/>
    <w:rsid w:val="006F0B09"/>
    <w:rsid w:val="006F69EC"/>
    <w:rsid w:val="006F6A2C"/>
    <w:rsid w:val="006F72B0"/>
    <w:rsid w:val="00701323"/>
    <w:rsid w:val="007056C0"/>
    <w:rsid w:val="00705BC0"/>
    <w:rsid w:val="007069DC"/>
    <w:rsid w:val="00710201"/>
    <w:rsid w:val="007102CD"/>
    <w:rsid w:val="00710D4C"/>
    <w:rsid w:val="0071194B"/>
    <w:rsid w:val="007129D3"/>
    <w:rsid w:val="00713E60"/>
    <w:rsid w:val="00716894"/>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EB6"/>
    <w:rsid w:val="00756E85"/>
    <w:rsid w:val="00757D40"/>
    <w:rsid w:val="00760805"/>
    <w:rsid w:val="00761926"/>
    <w:rsid w:val="0076307D"/>
    <w:rsid w:val="0076607C"/>
    <w:rsid w:val="007662B5"/>
    <w:rsid w:val="0077466B"/>
    <w:rsid w:val="00774940"/>
    <w:rsid w:val="0077751F"/>
    <w:rsid w:val="007778A0"/>
    <w:rsid w:val="00781472"/>
    <w:rsid w:val="00781F0F"/>
    <w:rsid w:val="00782664"/>
    <w:rsid w:val="007848CB"/>
    <w:rsid w:val="0078534D"/>
    <w:rsid w:val="00785614"/>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A7AA5"/>
    <w:rsid w:val="007B09F5"/>
    <w:rsid w:val="007B18D8"/>
    <w:rsid w:val="007B2202"/>
    <w:rsid w:val="007B2A65"/>
    <w:rsid w:val="007B38B9"/>
    <w:rsid w:val="007B3C9A"/>
    <w:rsid w:val="007C095F"/>
    <w:rsid w:val="007C17D5"/>
    <w:rsid w:val="007C1A44"/>
    <w:rsid w:val="007C25AC"/>
    <w:rsid w:val="007C2DD0"/>
    <w:rsid w:val="007C563E"/>
    <w:rsid w:val="007C7B54"/>
    <w:rsid w:val="007C7BB8"/>
    <w:rsid w:val="007D059E"/>
    <w:rsid w:val="007D06E6"/>
    <w:rsid w:val="007D1A7F"/>
    <w:rsid w:val="007D2689"/>
    <w:rsid w:val="007D2A9D"/>
    <w:rsid w:val="007D35ED"/>
    <w:rsid w:val="007D4F8A"/>
    <w:rsid w:val="007D4FB2"/>
    <w:rsid w:val="007E1392"/>
    <w:rsid w:val="007E2EF9"/>
    <w:rsid w:val="007F03B5"/>
    <w:rsid w:val="007F09F2"/>
    <w:rsid w:val="007F2D37"/>
    <w:rsid w:val="007F2E08"/>
    <w:rsid w:val="007F7EC4"/>
    <w:rsid w:val="00800199"/>
    <w:rsid w:val="00800B57"/>
    <w:rsid w:val="00801767"/>
    <w:rsid w:val="008028A4"/>
    <w:rsid w:val="008043F1"/>
    <w:rsid w:val="008056ED"/>
    <w:rsid w:val="00807C64"/>
    <w:rsid w:val="00807E15"/>
    <w:rsid w:val="0081030B"/>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040B"/>
    <w:rsid w:val="008732D6"/>
    <w:rsid w:val="00873CDA"/>
    <w:rsid w:val="00875EB1"/>
    <w:rsid w:val="008768CA"/>
    <w:rsid w:val="00877EF9"/>
    <w:rsid w:val="00880559"/>
    <w:rsid w:val="008818E2"/>
    <w:rsid w:val="00882533"/>
    <w:rsid w:val="008837E2"/>
    <w:rsid w:val="008849F5"/>
    <w:rsid w:val="008867D0"/>
    <w:rsid w:val="00890845"/>
    <w:rsid w:val="00890D75"/>
    <w:rsid w:val="00892166"/>
    <w:rsid w:val="00892D9D"/>
    <w:rsid w:val="00895A0B"/>
    <w:rsid w:val="00895FC5"/>
    <w:rsid w:val="00896CB6"/>
    <w:rsid w:val="008A092A"/>
    <w:rsid w:val="008A2511"/>
    <w:rsid w:val="008B386F"/>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E7624"/>
    <w:rsid w:val="008F2939"/>
    <w:rsid w:val="008F396F"/>
    <w:rsid w:val="008F3DCD"/>
    <w:rsid w:val="008F48C6"/>
    <w:rsid w:val="0090129C"/>
    <w:rsid w:val="00901D5C"/>
    <w:rsid w:val="0090271F"/>
    <w:rsid w:val="009027DA"/>
    <w:rsid w:val="00902DB9"/>
    <w:rsid w:val="00903709"/>
    <w:rsid w:val="0090466A"/>
    <w:rsid w:val="00907FE0"/>
    <w:rsid w:val="0091035F"/>
    <w:rsid w:val="009139F6"/>
    <w:rsid w:val="009209B2"/>
    <w:rsid w:val="00921E6D"/>
    <w:rsid w:val="0092209D"/>
    <w:rsid w:val="00923655"/>
    <w:rsid w:val="0092601D"/>
    <w:rsid w:val="0092610E"/>
    <w:rsid w:val="009322D7"/>
    <w:rsid w:val="00936071"/>
    <w:rsid w:val="009376AF"/>
    <w:rsid w:val="009376CD"/>
    <w:rsid w:val="00940212"/>
    <w:rsid w:val="009428FC"/>
    <w:rsid w:val="00942EC2"/>
    <w:rsid w:val="00944EC6"/>
    <w:rsid w:val="009504CA"/>
    <w:rsid w:val="009505D8"/>
    <w:rsid w:val="009508D2"/>
    <w:rsid w:val="00950B99"/>
    <w:rsid w:val="00952941"/>
    <w:rsid w:val="0095343C"/>
    <w:rsid w:val="00955E64"/>
    <w:rsid w:val="00955FB6"/>
    <w:rsid w:val="0095778B"/>
    <w:rsid w:val="009613BD"/>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2DAE"/>
    <w:rsid w:val="00983FFE"/>
    <w:rsid w:val="00986B60"/>
    <w:rsid w:val="0099153D"/>
    <w:rsid w:val="009928A9"/>
    <w:rsid w:val="009932BF"/>
    <w:rsid w:val="009937CD"/>
    <w:rsid w:val="00995D8C"/>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C40BB"/>
    <w:rsid w:val="009D2985"/>
    <w:rsid w:val="009D5A5D"/>
    <w:rsid w:val="009D7467"/>
    <w:rsid w:val="009D74A6"/>
    <w:rsid w:val="009E0B98"/>
    <w:rsid w:val="009E0E87"/>
    <w:rsid w:val="009E2DC5"/>
    <w:rsid w:val="009E55AC"/>
    <w:rsid w:val="009E5D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5562"/>
    <w:rsid w:val="00A409FF"/>
    <w:rsid w:val="00A41829"/>
    <w:rsid w:val="00A430EC"/>
    <w:rsid w:val="00A4371D"/>
    <w:rsid w:val="00A44335"/>
    <w:rsid w:val="00A448B3"/>
    <w:rsid w:val="00A4645A"/>
    <w:rsid w:val="00A466D4"/>
    <w:rsid w:val="00A47F02"/>
    <w:rsid w:val="00A53724"/>
    <w:rsid w:val="00A54B2B"/>
    <w:rsid w:val="00A56062"/>
    <w:rsid w:val="00A60806"/>
    <w:rsid w:val="00A63691"/>
    <w:rsid w:val="00A64AFF"/>
    <w:rsid w:val="00A657D6"/>
    <w:rsid w:val="00A664C3"/>
    <w:rsid w:val="00A72629"/>
    <w:rsid w:val="00A7298F"/>
    <w:rsid w:val="00A745A3"/>
    <w:rsid w:val="00A74711"/>
    <w:rsid w:val="00A75A4F"/>
    <w:rsid w:val="00A82346"/>
    <w:rsid w:val="00A85727"/>
    <w:rsid w:val="00A860CF"/>
    <w:rsid w:val="00A90727"/>
    <w:rsid w:val="00A91596"/>
    <w:rsid w:val="00A94027"/>
    <w:rsid w:val="00A9671C"/>
    <w:rsid w:val="00AA1553"/>
    <w:rsid w:val="00AA4F5A"/>
    <w:rsid w:val="00AA5A02"/>
    <w:rsid w:val="00AA610D"/>
    <w:rsid w:val="00AA6D24"/>
    <w:rsid w:val="00AB20DF"/>
    <w:rsid w:val="00AB2C03"/>
    <w:rsid w:val="00AB3DDD"/>
    <w:rsid w:val="00AB4454"/>
    <w:rsid w:val="00AB46D0"/>
    <w:rsid w:val="00AC507F"/>
    <w:rsid w:val="00AC6887"/>
    <w:rsid w:val="00AD3082"/>
    <w:rsid w:val="00AE390A"/>
    <w:rsid w:val="00AE5D2D"/>
    <w:rsid w:val="00AE7AEB"/>
    <w:rsid w:val="00AF1733"/>
    <w:rsid w:val="00AF1776"/>
    <w:rsid w:val="00AF371E"/>
    <w:rsid w:val="00AF649F"/>
    <w:rsid w:val="00AF7C5F"/>
    <w:rsid w:val="00B006C9"/>
    <w:rsid w:val="00B0385E"/>
    <w:rsid w:val="00B04A76"/>
    <w:rsid w:val="00B04F9F"/>
    <w:rsid w:val="00B05380"/>
    <w:rsid w:val="00B05962"/>
    <w:rsid w:val="00B0728D"/>
    <w:rsid w:val="00B102EF"/>
    <w:rsid w:val="00B11EAC"/>
    <w:rsid w:val="00B13A48"/>
    <w:rsid w:val="00B14B63"/>
    <w:rsid w:val="00B15449"/>
    <w:rsid w:val="00B157CB"/>
    <w:rsid w:val="00B15B76"/>
    <w:rsid w:val="00B16C2F"/>
    <w:rsid w:val="00B176C9"/>
    <w:rsid w:val="00B2602A"/>
    <w:rsid w:val="00B261CD"/>
    <w:rsid w:val="00B27303"/>
    <w:rsid w:val="00B30DE1"/>
    <w:rsid w:val="00B30F22"/>
    <w:rsid w:val="00B31F1F"/>
    <w:rsid w:val="00B31F7E"/>
    <w:rsid w:val="00B34577"/>
    <w:rsid w:val="00B346DD"/>
    <w:rsid w:val="00B413F2"/>
    <w:rsid w:val="00B422C6"/>
    <w:rsid w:val="00B423D7"/>
    <w:rsid w:val="00B4636F"/>
    <w:rsid w:val="00B46E85"/>
    <w:rsid w:val="00B47C49"/>
    <w:rsid w:val="00B47FD1"/>
    <w:rsid w:val="00B50369"/>
    <w:rsid w:val="00B51007"/>
    <w:rsid w:val="00B516BB"/>
    <w:rsid w:val="00B52DDE"/>
    <w:rsid w:val="00B53DBA"/>
    <w:rsid w:val="00B54E39"/>
    <w:rsid w:val="00B55159"/>
    <w:rsid w:val="00B606E6"/>
    <w:rsid w:val="00B657DE"/>
    <w:rsid w:val="00B65AA8"/>
    <w:rsid w:val="00B6672E"/>
    <w:rsid w:val="00B66E42"/>
    <w:rsid w:val="00B726D8"/>
    <w:rsid w:val="00B73674"/>
    <w:rsid w:val="00B7538C"/>
    <w:rsid w:val="00B75BD4"/>
    <w:rsid w:val="00B76953"/>
    <w:rsid w:val="00B8015A"/>
    <w:rsid w:val="00B8075F"/>
    <w:rsid w:val="00B84B49"/>
    <w:rsid w:val="00B84DB2"/>
    <w:rsid w:val="00B873FD"/>
    <w:rsid w:val="00B92E87"/>
    <w:rsid w:val="00B965D1"/>
    <w:rsid w:val="00BA04DF"/>
    <w:rsid w:val="00BA18CB"/>
    <w:rsid w:val="00BA55D1"/>
    <w:rsid w:val="00BA56A5"/>
    <w:rsid w:val="00BB12BA"/>
    <w:rsid w:val="00BB15DE"/>
    <w:rsid w:val="00BB1F15"/>
    <w:rsid w:val="00BB242A"/>
    <w:rsid w:val="00BB3BBA"/>
    <w:rsid w:val="00BB7251"/>
    <w:rsid w:val="00BB7C42"/>
    <w:rsid w:val="00BC1BC3"/>
    <w:rsid w:val="00BC1DB9"/>
    <w:rsid w:val="00BC32E4"/>
    <w:rsid w:val="00BC3555"/>
    <w:rsid w:val="00BC6473"/>
    <w:rsid w:val="00BD03E5"/>
    <w:rsid w:val="00BD16EC"/>
    <w:rsid w:val="00BD2CE9"/>
    <w:rsid w:val="00BD3400"/>
    <w:rsid w:val="00BD46AD"/>
    <w:rsid w:val="00BD5D0A"/>
    <w:rsid w:val="00BE034C"/>
    <w:rsid w:val="00BE07D3"/>
    <w:rsid w:val="00BE0AF3"/>
    <w:rsid w:val="00BE1FD5"/>
    <w:rsid w:val="00BE2A19"/>
    <w:rsid w:val="00BF14F3"/>
    <w:rsid w:val="00BF3CBC"/>
    <w:rsid w:val="00BF4333"/>
    <w:rsid w:val="00BF4969"/>
    <w:rsid w:val="00C00351"/>
    <w:rsid w:val="00C00512"/>
    <w:rsid w:val="00C04A27"/>
    <w:rsid w:val="00C060FE"/>
    <w:rsid w:val="00C06CDA"/>
    <w:rsid w:val="00C11561"/>
    <w:rsid w:val="00C12B51"/>
    <w:rsid w:val="00C1493D"/>
    <w:rsid w:val="00C14C9F"/>
    <w:rsid w:val="00C151D4"/>
    <w:rsid w:val="00C16499"/>
    <w:rsid w:val="00C1670C"/>
    <w:rsid w:val="00C21AA8"/>
    <w:rsid w:val="00C23F90"/>
    <w:rsid w:val="00C243E1"/>
    <w:rsid w:val="00C24650"/>
    <w:rsid w:val="00C25465"/>
    <w:rsid w:val="00C2645F"/>
    <w:rsid w:val="00C30859"/>
    <w:rsid w:val="00C31B5A"/>
    <w:rsid w:val="00C33079"/>
    <w:rsid w:val="00C34F33"/>
    <w:rsid w:val="00C424AD"/>
    <w:rsid w:val="00C44D4E"/>
    <w:rsid w:val="00C460F5"/>
    <w:rsid w:val="00C46E04"/>
    <w:rsid w:val="00C4721A"/>
    <w:rsid w:val="00C479AE"/>
    <w:rsid w:val="00C5010C"/>
    <w:rsid w:val="00C50D2C"/>
    <w:rsid w:val="00C5362D"/>
    <w:rsid w:val="00C5409F"/>
    <w:rsid w:val="00C54AE7"/>
    <w:rsid w:val="00C54B3F"/>
    <w:rsid w:val="00C54DA4"/>
    <w:rsid w:val="00C54F5D"/>
    <w:rsid w:val="00C55038"/>
    <w:rsid w:val="00C55A12"/>
    <w:rsid w:val="00C56C9F"/>
    <w:rsid w:val="00C637FD"/>
    <w:rsid w:val="00C6553E"/>
    <w:rsid w:val="00C66523"/>
    <w:rsid w:val="00C66D96"/>
    <w:rsid w:val="00C66F72"/>
    <w:rsid w:val="00C70DC4"/>
    <w:rsid w:val="00C748AC"/>
    <w:rsid w:val="00C760D4"/>
    <w:rsid w:val="00C76A1A"/>
    <w:rsid w:val="00C76B6B"/>
    <w:rsid w:val="00C779A7"/>
    <w:rsid w:val="00C804CA"/>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FE"/>
    <w:rsid w:val="00CD7B63"/>
    <w:rsid w:val="00CE08D1"/>
    <w:rsid w:val="00CE1B38"/>
    <w:rsid w:val="00CE31BB"/>
    <w:rsid w:val="00CE7B23"/>
    <w:rsid w:val="00CF1E1A"/>
    <w:rsid w:val="00CF2423"/>
    <w:rsid w:val="00CF4D95"/>
    <w:rsid w:val="00CF73D9"/>
    <w:rsid w:val="00D011CA"/>
    <w:rsid w:val="00D020FC"/>
    <w:rsid w:val="00D06125"/>
    <w:rsid w:val="00D06188"/>
    <w:rsid w:val="00D107B7"/>
    <w:rsid w:val="00D12DDB"/>
    <w:rsid w:val="00D1769D"/>
    <w:rsid w:val="00D24C0D"/>
    <w:rsid w:val="00D30C9E"/>
    <w:rsid w:val="00D31307"/>
    <w:rsid w:val="00D33400"/>
    <w:rsid w:val="00D33B8A"/>
    <w:rsid w:val="00D33BE3"/>
    <w:rsid w:val="00D3498F"/>
    <w:rsid w:val="00D35DEB"/>
    <w:rsid w:val="00D36C63"/>
    <w:rsid w:val="00D3792D"/>
    <w:rsid w:val="00D42F0B"/>
    <w:rsid w:val="00D43FB4"/>
    <w:rsid w:val="00D44D37"/>
    <w:rsid w:val="00D4766D"/>
    <w:rsid w:val="00D47CAD"/>
    <w:rsid w:val="00D507E3"/>
    <w:rsid w:val="00D51036"/>
    <w:rsid w:val="00D51BE4"/>
    <w:rsid w:val="00D52FC5"/>
    <w:rsid w:val="00D55E47"/>
    <w:rsid w:val="00D60C67"/>
    <w:rsid w:val="00D6233C"/>
    <w:rsid w:val="00D624F5"/>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C97"/>
    <w:rsid w:val="00DB0DB8"/>
    <w:rsid w:val="00DB159F"/>
    <w:rsid w:val="00DB1818"/>
    <w:rsid w:val="00DB1F9F"/>
    <w:rsid w:val="00DB3918"/>
    <w:rsid w:val="00DB552E"/>
    <w:rsid w:val="00DB74A8"/>
    <w:rsid w:val="00DC0E46"/>
    <w:rsid w:val="00DC309B"/>
    <w:rsid w:val="00DC3ED9"/>
    <w:rsid w:val="00DC44E4"/>
    <w:rsid w:val="00DC4DA2"/>
    <w:rsid w:val="00DC5261"/>
    <w:rsid w:val="00DC5BBA"/>
    <w:rsid w:val="00DC6A61"/>
    <w:rsid w:val="00DC75FA"/>
    <w:rsid w:val="00DD2888"/>
    <w:rsid w:val="00DD2CFA"/>
    <w:rsid w:val="00DD3480"/>
    <w:rsid w:val="00DD5188"/>
    <w:rsid w:val="00DD64BE"/>
    <w:rsid w:val="00DE001F"/>
    <w:rsid w:val="00DE03D3"/>
    <w:rsid w:val="00DE0B51"/>
    <w:rsid w:val="00DE22A8"/>
    <w:rsid w:val="00DE25D2"/>
    <w:rsid w:val="00DE491C"/>
    <w:rsid w:val="00DF0A31"/>
    <w:rsid w:val="00DF218F"/>
    <w:rsid w:val="00DF32FA"/>
    <w:rsid w:val="00DF4645"/>
    <w:rsid w:val="00DF7834"/>
    <w:rsid w:val="00E00D16"/>
    <w:rsid w:val="00E02228"/>
    <w:rsid w:val="00E0267E"/>
    <w:rsid w:val="00E053D4"/>
    <w:rsid w:val="00E107C1"/>
    <w:rsid w:val="00E1255A"/>
    <w:rsid w:val="00E131B9"/>
    <w:rsid w:val="00E13766"/>
    <w:rsid w:val="00E147E9"/>
    <w:rsid w:val="00E14C25"/>
    <w:rsid w:val="00E1589E"/>
    <w:rsid w:val="00E15BD7"/>
    <w:rsid w:val="00E16BF5"/>
    <w:rsid w:val="00E223EE"/>
    <w:rsid w:val="00E24C00"/>
    <w:rsid w:val="00E262F2"/>
    <w:rsid w:val="00E278EB"/>
    <w:rsid w:val="00E3746D"/>
    <w:rsid w:val="00E37E4F"/>
    <w:rsid w:val="00E41B53"/>
    <w:rsid w:val="00E41C0F"/>
    <w:rsid w:val="00E4470B"/>
    <w:rsid w:val="00E45739"/>
    <w:rsid w:val="00E46C08"/>
    <w:rsid w:val="00E471CF"/>
    <w:rsid w:val="00E47979"/>
    <w:rsid w:val="00E54A76"/>
    <w:rsid w:val="00E55148"/>
    <w:rsid w:val="00E553D9"/>
    <w:rsid w:val="00E609A3"/>
    <w:rsid w:val="00E62835"/>
    <w:rsid w:val="00E62BC9"/>
    <w:rsid w:val="00E65A87"/>
    <w:rsid w:val="00E66ABA"/>
    <w:rsid w:val="00E67116"/>
    <w:rsid w:val="00E7096B"/>
    <w:rsid w:val="00E74E5E"/>
    <w:rsid w:val="00E75E9B"/>
    <w:rsid w:val="00E76044"/>
    <w:rsid w:val="00E76419"/>
    <w:rsid w:val="00E766EC"/>
    <w:rsid w:val="00E77645"/>
    <w:rsid w:val="00E833D1"/>
    <w:rsid w:val="00E83697"/>
    <w:rsid w:val="00E84D66"/>
    <w:rsid w:val="00E859B6"/>
    <w:rsid w:val="00E8654C"/>
    <w:rsid w:val="00E86809"/>
    <w:rsid w:val="00E86D6D"/>
    <w:rsid w:val="00E93731"/>
    <w:rsid w:val="00E94C71"/>
    <w:rsid w:val="00E94E2D"/>
    <w:rsid w:val="00E9509D"/>
    <w:rsid w:val="00E96CD0"/>
    <w:rsid w:val="00E96F95"/>
    <w:rsid w:val="00EA0A85"/>
    <w:rsid w:val="00EA12F9"/>
    <w:rsid w:val="00EA3E27"/>
    <w:rsid w:val="00EA52B3"/>
    <w:rsid w:val="00EA5A15"/>
    <w:rsid w:val="00EA66C9"/>
    <w:rsid w:val="00EA715F"/>
    <w:rsid w:val="00EB06B2"/>
    <w:rsid w:val="00EB348E"/>
    <w:rsid w:val="00EB378C"/>
    <w:rsid w:val="00EB4E14"/>
    <w:rsid w:val="00EB56A0"/>
    <w:rsid w:val="00EB5A68"/>
    <w:rsid w:val="00EB6AEC"/>
    <w:rsid w:val="00EC0B2A"/>
    <w:rsid w:val="00EC230D"/>
    <w:rsid w:val="00EC340C"/>
    <w:rsid w:val="00EC4A25"/>
    <w:rsid w:val="00EC5498"/>
    <w:rsid w:val="00EC6C86"/>
    <w:rsid w:val="00EC6F51"/>
    <w:rsid w:val="00EC7DFE"/>
    <w:rsid w:val="00EC7F28"/>
    <w:rsid w:val="00ED0457"/>
    <w:rsid w:val="00ED112E"/>
    <w:rsid w:val="00ED15CB"/>
    <w:rsid w:val="00ED1BAA"/>
    <w:rsid w:val="00ED24E4"/>
    <w:rsid w:val="00ED38B9"/>
    <w:rsid w:val="00ED40AC"/>
    <w:rsid w:val="00ED6022"/>
    <w:rsid w:val="00EE00AC"/>
    <w:rsid w:val="00EE3A51"/>
    <w:rsid w:val="00EE43AE"/>
    <w:rsid w:val="00EE5AAD"/>
    <w:rsid w:val="00EE5F79"/>
    <w:rsid w:val="00EE671D"/>
    <w:rsid w:val="00EF0C39"/>
    <w:rsid w:val="00EF0DB9"/>
    <w:rsid w:val="00EF612C"/>
    <w:rsid w:val="00F00A10"/>
    <w:rsid w:val="00F01B56"/>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0D5"/>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701D9"/>
    <w:rsid w:val="00F701EF"/>
    <w:rsid w:val="00F71B89"/>
    <w:rsid w:val="00F72021"/>
    <w:rsid w:val="00F7353C"/>
    <w:rsid w:val="00F758D2"/>
    <w:rsid w:val="00F76F8F"/>
    <w:rsid w:val="00F77B35"/>
    <w:rsid w:val="00F77CC7"/>
    <w:rsid w:val="00F77EE4"/>
    <w:rsid w:val="00F811D9"/>
    <w:rsid w:val="00F8332A"/>
    <w:rsid w:val="00F83C4F"/>
    <w:rsid w:val="00F8492C"/>
    <w:rsid w:val="00F84D86"/>
    <w:rsid w:val="00F8516F"/>
    <w:rsid w:val="00F941DF"/>
    <w:rsid w:val="00F975E4"/>
    <w:rsid w:val="00FA1266"/>
    <w:rsid w:val="00FA2071"/>
    <w:rsid w:val="00FA3474"/>
    <w:rsid w:val="00FA3BA9"/>
    <w:rsid w:val="00FA44AE"/>
    <w:rsid w:val="00FA5E31"/>
    <w:rsid w:val="00FB03CC"/>
    <w:rsid w:val="00FB22A3"/>
    <w:rsid w:val="00FB36FA"/>
    <w:rsid w:val="00FB3A4D"/>
    <w:rsid w:val="00FB5272"/>
    <w:rsid w:val="00FB6501"/>
    <w:rsid w:val="00FB6D32"/>
    <w:rsid w:val="00FB6F30"/>
    <w:rsid w:val="00FC1192"/>
    <w:rsid w:val="00FC2F18"/>
    <w:rsid w:val="00FC371B"/>
    <w:rsid w:val="00FC3F63"/>
    <w:rsid w:val="00FC4291"/>
    <w:rsid w:val="00FC5E42"/>
    <w:rsid w:val="00FC7E40"/>
    <w:rsid w:val="00FD0A57"/>
    <w:rsid w:val="00FD6EDB"/>
    <w:rsid w:val="00FD70B9"/>
    <w:rsid w:val="00FE106D"/>
    <w:rsid w:val="00FE1C0F"/>
    <w:rsid w:val="00FE251B"/>
    <w:rsid w:val="00FE520E"/>
    <w:rsid w:val="00FE6612"/>
    <w:rsid w:val="00FE68AA"/>
    <w:rsid w:val="00FE6EF1"/>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633"/>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title">
    <w:name w:val="Doc-title"/>
    <w:basedOn w:val="Normal"/>
    <w:next w:val="Doc-text2"/>
    <w:link w:val="Doc-titleChar"/>
    <w:qFormat/>
    <w:rsid w:val="0087040B"/>
    <w:pPr>
      <w:spacing w:before="60" w:after="0"/>
      <w:ind w:left="1259" w:hanging="1259"/>
    </w:pPr>
    <w:rPr>
      <w:rFonts w:cs="Times New Roman"/>
      <w:noProof/>
      <w:lang w:val="en-GB"/>
    </w:rPr>
  </w:style>
  <w:style w:type="character" w:customStyle="1" w:styleId="Doc-titleChar">
    <w:name w:val="Doc-title Char"/>
    <w:link w:val="Doc-title"/>
    <w:qFormat/>
    <w:rsid w:val="0087040B"/>
    <w:rPr>
      <w:rFonts w:ascii="Arial" w:eastAsia="MS Mincho" w:hAnsi="Arial"/>
      <w:noProof/>
      <w:szCs w:val="24"/>
    </w:rPr>
  </w:style>
  <w:style w:type="paragraph" w:customStyle="1" w:styleId="Comments">
    <w:name w:val="Comments"/>
    <w:basedOn w:val="Normal"/>
    <w:link w:val="CommentsChar"/>
    <w:qFormat/>
    <w:rsid w:val="0087040B"/>
    <w:pPr>
      <w:spacing w:before="40" w:after="0"/>
    </w:pPr>
    <w:rPr>
      <w:rFonts w:cs="Times New Roman"/>
      <w:i/>
      <w:noProof/>
      <w:sz w:val="18"/>
      <w:lang w:val="en-GB"/>
    </w:rPr>
  </w:style>
  <w:style w:type="character" w:customStyle="1" w:styleId="CommentsChar">
    <w:name w:val="Comments Char"/>
    <w:link w:val="Comments"/>
    <w:qFormat/>
    <w:rsid w:val="0087040B"/>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08654387">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1B6F9-BF85-49EE-9126-13D7604E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2623</Words>
  <Characters>14956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2023-08-10T21:32:00Z</dcterms:created>
  <dcterms:modified xsi:type="dcterms:W3CDTF">2023-08-11T08:13:00Z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